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9.0.0 -->
  <w:body>
    <w:p>
      <w:pPr>
        <w:jc w:val="center"/>
        <w:rPr>
          <w:b/>
          <w:bCs/>
          <w:sz w:val="40"/>
          <w:szCs w:val="40"/>
        </w:rPr>
      </w:pPr>
      <w:bookmarkStart w:id="0" w:name="_Hlk71456902"/>
      <w:bookmarkStart w:id="1" w:name="_GoBack"/>
      <w:bookmarkEnd w:id="1"/>
      <w:r>
        <w:rPr>
          <w:rFonts w:hint="eastAsia"/>
          <w:b/>
          <w:bCs/>
          <w:sz w:val="40"/>
          <w:szCs w:val="40"/>
        </w:rPr>
        <w:t>清华大学深圳国际研究生院国际一期新增智慧教室系统项目</w:t>
      </w:r>
    </w:p>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招标文件信息</w:t>
      </w:r>
    </w:p>
    <w:tbl>
      <w:tblPr>
        <w:tblStyle w:val="TableNormal"/>
        <w:tblW w:w="7943" w:type="dxa"/>
        <w:jc w:val="center"/>
        <w:tblCellSpacing w:w="0" w:type="dxa"/>
        <w:tblLayout w:type="fixed"/>
        <w:tblCellMar>
          <w:top w:w="45" w:type="dxa"/>
          <w:left w:w="45" w:type="dxa"/>
          <w:bottom w:w="45" w:type="dxa"/>
          <w:right w:w="45" w:type="dxa"/>
        </w:tblCellMar>
      </w:tblPr>
      <w:tblGrid>
        <w:gridCol w:w="2723"/>
        <w:gridCol w:w="5220"/>
      </w:tblGrid>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ascii="宋体" w:hAnsi="宋体" w:cs="宋体"/>
                <w:kern w:val="0"/>
                <w:sz w:val="30"/>
                <w:szCs w:val="30"/>
              </w:rPr>
              <w:t>SZCG2023000797</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ascii="宋体" w:hAnsi="宋体" w:cs="宋体" w:hint="eastAsia"/>
                <w:kern w:val="0"/>
                <w:sz w:val="30"/>
                <w:szCs w:val="30"/>
              </w:rPr>
              <w:t>清华大学深圳国际研究生院国际一期新增智慧教室系统</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货物类</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rPr>
              <w:t>公开招标</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W w:w="7943" w:type="dxa"/>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rPr>
              <w:t>综合评分</w:t>
            </w:r>
            <w:r>
              <w:rPr>
                <w:rFonts w:ascii="宋体" w:hAnsi="宋体" w:cs="宋体" w:hint="eastAsia"/>
                <w:kern w:val="0"/>
                <w:sz w:val="30"/>
                <w:szCs w:val="30"/>
              </w:rPr>
              <w:t>法</w:t>
            </w:r>
          </w:p>
        </w:tc>
      </w:tr>
    </w:tbl>
    <w:p>
      <w:pPr>
        <w:pStyle w:val="NormalWeb"/>
        <w:widowControl/>
        <w:jc w:val="center"/>
        <w:outlineLvl w:val="1"/>
        <w:rPr>
          <w:rFonts w:ascii="黑体" w:eastAsia="黑体" w:hAnsi="宋体" w:cs="黑体"/>
          <w:sz w:val="40"/>
          <w:szCs w:val="40"/>
        </w:rPr>
      </w:pPr>
      <w:bookmarkEnd w:id="0"/>
      <w:r>
        <w:rPr>
          <w:rFonts w:ascii="黑体" w:eastAsia="黑体" w:hAnsi="宋体" w:cs="黑体" w:hint="eastAsia"/>
          <w:sz w:val="40"/>
          <w:szCs w:val="40"/>
        </w:rPr>
        <w:t>资格性审查表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资格要求，或未提交相应的资格证明资料（详见招标公告</w:t>
            </w:r>
            <w:r>
              <w:rPr>
                <w:rFonts w:ascii="宋体" w:hAnsi="宋体" w:hint="eastAsia"/>
                <w:szCs w:val="21"/>
              </w:rPr>
              <w:t>投标人资格要求，即申请人的资格要求</w:t>
            </w:r>
            <w:r>
              <w:rPr>
                <w:rFonts w:ascii="宋体" w:hAnsi="宋体" w:cs="宋体"/>
                <w:kern w:val="0"/>
                <w:szCs w:val="21"/>
              </w:rPr>
              <w:t>）</w:t>
            </w:r>
          </w:p>
        </w:tc>
      </w:tr>
    </w:tbl>
    <w:p>
      <w:pPr>
        <w:pStyle w:val="NormalWeb"/>
        <w:widowControl/>
        <w:spacing w:before="280" w:beforeAutospacing="0"/>
        <w:jc w:val="center"/>
        <w:outlineLvl w:val="1"/>
        <w:rPr>
          <w:rFonts w:ascii="黑体" w:eastAsia="黑体" w:hAnsi="宋体" w:cs="黑体"/>
          <w:sz w:val="40"/>
          <w:szCs w:val="40"/>
        </w:rPr>
      </w:pPr>
      <w:r>
        <w:rPr>
          <w:rFonts w:ascii="黑体" w:eastAsia="黑体" w:hAnsi="宋体" w:cs="黑体" w:hint="eastAsia"/>
          <w:sz w:val="40"/>
          <w:szCs w:val="40"/>
        </w:rPr>
        <w:t>符合性审查表</w:t>
      </w:r>
    </w:p>
    <w:tbl>
      <w:tblPr>
        <w:tblStyle w:val="TableNormal"/>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84"/>
      </w:tblGrid>
      <w:tr>
        <w:tblPrEx>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不得将一个包内容拆开投标；</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对同一项目投标时，不得提供两套以上的投标方案（招标文件另有规定的除外）；</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分项报价或投标总价不得高于</w:t>
            </w:r>
            <w:bookmarkStart w:id="2" w:name="_Hlk71832186"/>
            <w:r>
              <w:rPr>
                <w:rFonts w:hint="eastAsia"/>
              </w:rPr>
              <w:t>相应预算金额（或设定的预算金额下的最高限价）</w:t>
            </w:r>
            <w:bookmarkEnd w:id="2"/>
            <w:r>
              <w:rPr>
                <w:rFonts w:hint="eastAsia"/>
              </w:rPr>
              <w:t>；</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所投货物、服务在技术、商务等方面没有实质性满足招标文件要求的（是否实质性满足招标文件要求，由评审委员会根据实质性条款响应情况作出评判）；</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未按招标文件所提供的样式填写《投标函》；未按招标文件所提供的《政府采购投标及履约承诺函》进行承诺或不符合承诺的；未按招标文件对投标文件组成的要求提供投标文件；</w:t>
            </w:r>
          </w:p>
        </w:tc>
      </w:tr>
      <w:tr>
        <w:tblPrEx>
          <w:tblW w:w="9078" w:type="dxa"/>
          <w:jc w:val="center"/>
          <w:tblLayout w:type="fixed"/>
          <w:tblCellMar>
            <w:top w:w="20" w:type="dxa"/>
            <w:left w:w="108" w:type="dxa"/>
            <w:bottom w:w="20" w:type="dxa"/>
            <w:right w:w="108" w:type="dxa"/>
          </w:tblCellMar>
        </w:tblPrEx>
        <w:trPr>
          <w:trHeight w:val="581"/>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投标报价有缺漏项目,或者对招标文件规定的项目需求内容或者需求数量进行修改</w:t>
            </w:r>
            <w:r>
              <w:rPr>
                <w:rFonts w:hint="eastAsia"/>
                <w:szCs w:val="21"/>
              </w:rPr>
              <w:t>，评审委员会判定投标响应不满足采购需求</w:t>
            </w:r>
            <w:r>
              <w:rPr>
                <w:rFonts w:hint="eastAsia"/>
              </w:rPr>
              <w:t>；</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投标文件存在列放位置错误，导致属于信息公开情形的没有被公开；</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投标文件电子文档不得带病毒；</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kern w:val="0"/>
                <w:szCs w:val="21"/>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rFonts w:hint="eastAsia"/>
              </w:rPr>
              <w:t>投标文件用不属于本公司的电子密钥进行加密的；</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szCs w:val="21"/>
              </w:rPr>
            </w:pPr>
            <w:r>
              <w:rPr>
                <w:rFonts w:ascii="宋体" w:hAnsi="宋体" w:cs="宋体" w:hint="eastAsia"/>
                <w:color w:val="FF0000"/>
                <w:kern w:val="0"/>
                <w:szCs w:val="21"/>
              </w:rPr>
              <w:t>1</w:t>
            </w:r>
            <w:r>
              <w:rPr>
                <w:rFonts w:ascii="宋体" w:hAnsi="宋体" w:cs="宋体"/>
                <w:color w:val="FF0000"/>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szCs w:val="21"/>
              </w:rPr>
            </w:pPr>
            <w:r>
              <w:rPr>
                <w:color w:val="FF0000"/>
              </w:rPr>
              <w:t>不同投标供应商投标文件“文件制作机器码”一致；</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hAnsi="宋体" w:cs="宋体"/>
                <w:kern w:val="0"/>
                <w:szCs w:val="21"/>
              </w:rPr>
            </w:pPr>
            <w:r>
              <w:rPr>
                <w:rFonts w:ascii="宋体" w:hAnsi="宋体" w:cs="宋体" w:hint="eastAsia"/>
                <w:color w:val="FF0000"/>
                <w:kern w:val="0"/>
                <w:szCs w:val="21"/>
              </w:rPr>
              <w:t>1</w:t>
            </w:r>
            <w:r>
              <w:rPr>
                <w:rFonts w:ascii="宋体" w:hAnsi="宋体" w:cs="宋体"/>
                <w:color w:val="FF0000"/>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pPr>
            <w:r>
              <w:rPr>
                <w:color w:val="FF0000"/>
              </w:rPr>
              <w:t>不同投标供应商投标文件“文件创建标识码”一致</w:t>
            </w:r>
            <w:r>
              <w:rPr>
                <w:rFonts w:hint="eastAsia"/>
                <w:color w:val="FF0000"/>
              </w:rPr>
              <w:t>；</w:t>
            </w:r>
          </w:p>
        </w:tc>
      </w:tr>
      <w:tr>
        <w:tblPrEx>
          <w:tblW w:w="9078" w:type="dxa"/>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ascii="宋体" w:hAnsi="宋体" w:cs="宋体"/>
                <w:kern w:val="0"/>
                <w:szCs w:val="21"/>
              </w:rPr>
            </w:pPr>
            <w:r>
              <w:rPr>
                <w:rFonts w:ascii="宋体" w:hAnsi="宋体" w:cs="宋体"/>
                <w:kern w:val="0"/>
                <w:szCs w:val="21"/>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pPr>
            <w:r>
              <w:rPr>
                <w:rFonts w:hint="eastAsia"/>
              </w:rPr>
              <w:t>法律、法规、规章、规范性文件规定的其他情形。</w:t>
            </w:r>
          </w:p>
        </w:tc>
      </w:tr>
    </w:tbl>
    <w:p>
      <w:pPr>
        <w:pStyle w:val="NormalWeb"/>
        <w:widowControl/>
        <w:jc w:val="center"/>
        <w:outlineLvl w:val="1"/>
        <w:rPr>
          <w:rFonts w:ascii="黑体" w:eastAsia="黑体" w:hAnsi="宋体" w:cs="黑体"/>
          <w:sz w:val="40"/>
          <w:szCs w:val="40"/>
        </w:rPr>
      </w:pPr>
      <w:r>
        <w:rPr>
          <w:rFonts w:ascii="黑体" w:eastAsia="黑体" w:hAnsi="宋体" w:cs="黑体" w:hint="eastAsia"/>
          <w:sz w:val="40"/>
          <w:szCs w:val="40"/>
        </w:rPr>
        <w:t>评标信息</w:t>
      </w:r>
    </w:p>
    <w:tbl>
      <w:tblPr>
        <w:tblStyle w:val="TableNormal"/>
        <w:tblW w:w="9078"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
      <w:tblGrid>
        <w:gridCol w:w="8685"/>
        <w:gridCol w:w="393"/>
      </w:tblGrid>
      <w:tr>
        <w:tblPrEx>
          <w:tblW w:w="9078" w:type="dxa"/>
          <w:jc w:val="center"/>
          <w:tblCellSpacing w:w="0" w:type="dxa"/>
          <w:tblBorders>
            <w:top w:val="nil"/>
            <w:left w:val="nil"/>
            <w:bottom w:val="nil"/>
            <w:right w:val="nil"/>
            <w:insideH w:val="nil"/>
            <w:insideV w:val="nil"/>
          </w:tblBorders>
          <w:tblLayout w:type="fixed"/>
          <w:tblCellMar>
            <w:top w:w="45" w:type="dxa"/>
            <w:left w:w="45" w:type="dxa"/>
            <w:bottom w:w="45" w:type="dxa"/>
            <w:right w:w="45" w:type="dxa"/>
          </w:tblCellMar>
        </w:tblPrEx>
        <w:trPr>
          <w:tblCellSpacing w:w="0" w:type="dxa"/>
          <w:jc w:val="center"/>
        </w:trPr>
        <w:tc>
          <w:tcPr>
            <w:tcW w:w="8685" w:type="dxa"/>
            <w:shd w:val="clear" w:color="auto" w:fill="auto"/>
            <w:vAlign w:val="center"/>
          </w:tcPr>
          <w:p>
            <w:pPr>
              <w:widowControl/>
              <w:jc w:val="left"/>
              <w:rPr>
                <w:b/>
                <w:bCs/>
                <w:sz w:val="24"/>
              </w:rPr>
            </w:pPr>
            <w:r>
              <w:rPr>
                <w:b/>
                <w:bCs/>
              </w:rPr>
              <w:t>评标方法：综合评分法</w:t>
            </w:r>
          </w:p>
        </w:tc>
        <w:tc>
          <w:tcPr>
            <w:tcW w:w="393" w:type="dxa"/>
            <w:shd w:val="clear" w:color="auto" w:fill="auto"/>
            <w:vAlign w:val="center"/>
          </w:tcPr>
          <w:p>
            <w:pPr>
              <w:jc w:val="right"/>
              <w:rPr>
                <w:rFonts w:ascii="宋体"/>
                <w:b/>
                <w:bCs/>
                <w:sz w:val="24"/>
              </w:rPr>
            </w:pPr>
          </w:p>
        </w:tc>
      </w:tr>
      <w:tr>
        <w:tblPrEx>
          <w:tblW w:w="9078" w:type="dxa"/>
          <w:jc w:val="center"/>
          <w:tblCellSpacing w:w="0" w:type="dxa"/>
          <w:tblLayout w:type="fixed"/>
          <w:tblCellMar>
            <w:top w:w="45" w:type="dxa"/>
            <w:left w:w="45" w:type="dxa"/>
            <w:bottom w:w="45" w:type="dxa"/>
            <w:right w:w="45" w:type="dxa"/>
          </w:tblCellMar>
        </w:tblPrEx>
        <w:trPr>
          <w:tblCellSpacing w:w="0" w:type="dxa"/>
          <w:jc w:val="center"/>
        </w:trPr>
        <w:tc>
          <w:tcPr>
            <w:tcW w:w="9078" w:type="dxa"/>
            <w:gridSpan w:val="2"/>
            <w:shd w:val="clear" w:color="auto" w:fill="auto"/>
            <w:vAlign w:val="center"/>
          </w:tcPr>
          <w:p>
            <w:pPr>
              <w:spacing w:line="324" w:lineRule="auto"/>
              <w:ind w:firstLine="420"/>
              <w:rPr>
                <w:szCs w:val="21"/>
              </w:rPr>
            </w:pPr>
            <w:r>
              <w:rPr>
                <w:rFonts w:hint="eastAsia"/>
                <w:szCs w:val="21"/>
              </w:rPr>
              <w:t>综合评分法。在最大限度地满足招标文件实质性要求的前提下，按照招标文件中规定的各项因素进行综合评审，评标总得分排名前列的投标人，作为推荐的候选中标供应商</w:t>
            </w:r>
            <w:r>
              <w:rPr>
                <w:szCs w:val="21"/>
              </w:rPr>
              <w:t xml:space="preserve">。 </w:t>
            </w:r>
          </w:p>
          <w:p>
            <w:pPr>
              <w:ind w:firstLine="420"/>
              <w:rPr>
                <w:szCs w:val="21"/>
              </w:rPr>
            </w:pPr>
            <w:r>
              <w:rPr>
                <w:szCs w:val="21"/>
              </w:rPr>
              <w:t>价格分计算方法：</w:t>
            </w:r>
          </w:p>
          <w:p>
            <w:pPr>
              <w:pStyle w:val="NormalWeb"/>
              <w:widowControl/>
              <w:spacing w:line="324" w:lineRule="auto"/>
              <w:ind w:left="420"/>
              <w:rPr>
                <w:kern w:val="2"/>
                <w:sz w:val="21"/>
                <w:szCs w:val="21"/>
              </w:rPr>
            </w:pPr>
            <w:r>
              <w:rPr>
                <w:kern w:val="2"/>
                <w:sz w:val="21"/>
                <w:szCs w:val="21"/>
              </w:rPr>
              <w:t xml:space="preserve">采用低价优先法计算，即满足招标文件要求且投标价格最低的投标报价为评标基准价，其价格分为满分。其他投标人的价格分统一按照下列公式计算： </w:t>
            </w:r>
          </w:p>
          <w:p>
            <w:pPr>
              <w:pStyle w:val="NormalWeb"/>
              <w:widowControl/>
              <w:spacing w:line="324" w:lineRule="auto"/>
              <w:ind w:left="420"/>
              <w:rPr>
                <w:kern w:val="2"/>
                <w:sz w:val="21"/>
                <w:szCs w:val="21"/>
              </w:rPr>
            </w:pPr>
            <w:r>
              <w:rPr>
                <w:kern w:val="2"/>
                <w:sz w:val="21"/>
                <w:szCs w:val="21"/>
              </w:rPr>
              <w:t xml:space="preserve">投标报价得分=(评标基准价／投标报价)×100 </w:t>
            </w:r>
          </w:p>
          <w:p>
            <w:pPr>
              <w:pStyle w:val="NormalWeb"/>
              <w:widowControl/>
              <w:spacing w:line="324" w:lineRule="auto"/>
              <w:ind w:left="420"/>
              <w:rPr>
                <w:kern w:val="2"/>
                <w:sz w:val="21"/>
                <w:szCs w:val="21"/>
              </w:rPr>
            </w:pPr>
            <w:r>
              <w:rPr>
                <w:kern w:val="2"/>
                <w:sz w:val="21"/>
                <w:szCs w:val="21"/>
              </w:rPr>
              <w:t xml:space="preserve">评标总得分＝F1×A1＋F2×A2＋……＋Fn×An </w:t>
            </w:r>
          </w:p>
          <w:p>
            <w:pPr>
              <w:pStyle w:val="NormalWeb"/>
              <w:widowControl/>
              <w:spacing w:line="324" w:lineRule="auto"/>
              <w:ind w:left="420"/>
              <w:rPr>
                <w:kern w:val="2"/>
                <w:sz w:val="21"/>
                <w:szCs w:val="21"/>
              </w:rPr>
            </w:pPr>
            <w:r>
              <w:rPr>
                <w:kern w:val="2"/>
                <w:sz w:val="21"/>
                <w:szCs w:val="21"/>
              </w:rPr>
              <w:t xml:space="preserve">F1、F2……Fn分别为各项评审因素的得分； </w:t>
            </w:r>
          </w:p>
          <w:p>
            <w:pPr>
              <w:pStyle w:val="NormalWeb"/>
              <w:widowControl/>
              <w:spacing w:line="324" w:lineRule="auto"/>
              <w:ind w:left="420"/>
              <w:rPr>
                <w:kern w:val="2"/>
                <w:sz w:val="21"/>
                <w:szCs w:val="21"/>
              </w:rPr>
            </w:pPr>
            <w:r>
              <w:rPr>
                <w:kern w:val="2"/>
                <w:sz w:val="21"/>
                <w:szCs w:val="21"/>
              </w:rPr>
              <w:t xml:space="preserve">A1、A2、……An 分别为各项评审因素所占的权重(A1＋A2＋……＋An＝1)。 </w:t>
            </w:r>
          </w:p>
          <w:p>
            <w:pPr>
              <w:pStyle w:val="NormalWeb"/>
              <w:widowControl/>
              <w:spacing w:line="324" w:lineRule="auto"/>
              <w:ind w:left="420"/>
              <w:rPr>
                <w:sz w:val="21"/>
                <w:szCs w:val="21"/>
              </w:rPr>
            </w:pPr>
            <w:r>
              <w:rPr>
                <w:kern w:val="2"/>
                <w:sz w:val="21"/>
                <w:szCs w:val="21"/>
              </w:rPr>
              <w:t xml:space="preserve">评标过程中，不得去掉报价中的最高报价和最低报价。 </w:t>
            </w:r>
          </w:p>
        </w:tc>
      </w:tr>
    </w:tbl>
    <w:p>
      <w:pPr>
        <w:rPr>
          <w:vanish/>
          <w:sz w:val="24"/>
        </w:rPr>
      </w:pPr>
    </w:p>
    <w:tbl>
      <w:tblPr>
        <w:tblStyle w:val="TableNormal"/>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16"/>
        <w:gridCol w:w="416"/>
        <w:gridCol w:w="1814"/>
        <w:gridCol w:w="720"/>
        <w:gridCol w:w="755"/>
        <w:gridCol w:w="4328"/>
      </w:tblGrid>
      <w:tr>
        <w:tblPrEx>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bookmarkStart w:id="3" w:name="_Hlk72360569"/>
            <w:r>
              <w:rPr>
                <w:rFonts w:ascii="宋体" w:hAnsi="宋体" w:hint="eastAsia"/>
                <w:sz w:val="20"/>
                <w:szCs w:val="20"/>
              </w:rPr>
              <w:t>序号</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评分项</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权重</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价格</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30</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技术部分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53</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技术保障措施</w:t>
            </w:r>
          </w:p>
          <w:p>
            <w:pPr>
              <w:spacing w:line="240" w:lineRule="exact"/>
              <w:jc w:val="center"/>
              <w:rPr>
                <w:rFonts w:ascii="宋体" w:hAnsi="宋体"/>
                <w:b/>
                <w:color w:val="FF0000"/>
                <w:sz w:val="20"/>
                <w:szCs w:val="20"/>
              </w:rPr>
            </w:pPr>
          </w:p>
        </w:tc>
        <w:tc>
          <w:tcPr>
            <w:tcW w:w="720" w:type="dxa"/>
            <w:vAlign w:val="center"/>
          </w:tcPr>
          <w:p>
            <w:pPr>
              <w:spacing w:line="240" w:lineRule="exact"/>
              <w:jc w:val="center"/>
              <w:rPr>
                <w:rFonts w:ascii="宋体" w:hAnsi="宋体"/>
                <w:sz w:val="20"/>
                <w:szCs w:val="20"/>
              </w:rPr>
            </w:pPr>
            <w:r>
              <w:rPr>
                <w:rFonts w:ascii="宋体" w:hAnsi="宋体" w:hint="eastAsia"/>
                <w:sz w:val="20"/>
                <w:szCs w:val="20"/>
              </w:rPr>
              <w:t>8</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spacing w:line="240" w:lineRule="exact"/>
              <w:jc w:val="left"/>
            </w:pPr>
            <w:r>
              <w:rPr>
                <w:rFonts w:hint="eastAsia"/>
              </w:rPr>
              <w:t>1、拟安排的项目负责人为投标单位员工（以社保为准），否则本项不得分。在此基础上，按以下标准评分：</w:t>
            </w:r>
          </w:p>
          <w:p>
            <w:pPr>
              <w:spacing w:line="240" w:lineRule="exact"/>
              <w:jc w:val="left"/>
            </w:pPr>
            <w:r>
              <w:rPr>
                <w:rFonts w:hint="eastAsia"/>
              </w:rPr>
              <w:t>1）具有人力资源和社会保障部、工业和信息化部颁发的信息系统项目管理师资格证书；</w:t>
            </w:r>
          </w:p>
          <w:p>
            <w:pPr>
              <w:spacing w:line="240" w:lineRule="exact"/>
              <w:jc w:val="left"/>
            </w:pPr>
            <w:r>
              <w:rPr>
                <w:rFonts w:hint="eastAsia"/>
              </w:rPr>
              <w:t xml:space="preserve">2）具有人力资源和社会保障局颁发的电子技术工程师中级或以上专业技术资格证； </w:t>
            </w:r>
          </w:p>
          <w:p>
            <w:pPr>
              <w:spacing w:line="240" w:lineRule="exact"/>
              <w:jc w:val="left"/>
            </w:pPr>
            <w:r>
              <w:rPr>
                <w:rFonts w:hint="eastAsia"/>
              </w:rPr>
              <w:t xml:space="preserve">3）具有住房和城乡建设部门颁发的安全生产考核合格证书； </w:t>
            </w:r>
          </w:p>
          <w:p>
            <w:pPr>
              <w:spacing w:line="240" w:lineRule="exact"/>
              <w:jc w:val="left"/>
            </w:pPr>
            <w:r>
              <w:rPr>
                <w:rFonts w:hint="eastAsia"/>
              </w:rPr>
              <w:t>每提供1个证书得15分，最高得45分，每个证书不重复计分；</w:t>
            </w:r>
          </w:p>
          <w:p>
            <w:pPr>
              <w:spacing w:line="240" w:lineRule="exact"/>
              <w:jc w:val="left"/>
            </w:pPr>
            <w:r>
              <w:rPr>
                <w:rFonts w:hint="eastAsia"/>
              </w:rPr>
              <w:t>2、拟要求拟安排的项目团队成员（项目负责人除外）须为投标单位员工（以社保为准，同时要求投入人员不低于12人，提供团队成员名单，）否则本项不得分。在此基础上：</w:t>
            </w:r>
          </w:p>
          <w:p>
            <w:pPr>
              <w:spacing w:line="240" w:lineRule="exact"/>
              <w:jc w:val="left"/>
            </w:pPr>
            <w:r>
              <w:rPr>
                <w:rFonts w:hint="eastAsia"/>
              </w:rPr>
              <w:t>1）具有人力资源和社会保障部、工业和信息化部颁发的信息系统项目管理师资格证书；2人及以上得10分，其他情况不得分；</w:t>
            </w:r>
          </w:p>
          <w:p>
            <w:pPr>
              <w:spacing w:line="240" w:lineRule="exact"/>
              <w:jc w:val="left"/>
            </w:pPr>
            <w:r>
              <w:rPr>
                <w:rFonts w:hint="eastAsia"/>
              </w:rPr>
              <w:t>2） 具有人力资源和社会保障部门颁发的电子技术工程师中级或以上专业技术资格证2人及以上得10分，其他情况不得分；</w:t>
            </w:r>
          </w:p>
          <w:p>
            <w:pPr>
              <w:spacing w:line="240" w:lineRule="exact"/>
              <w:jc w:val="left"/>
            </w:pPr>
            <w:r>
              <w:rPr>
                <w:rFonts w:hint="eastAsia"/>
              </w:rPr>
              <w:t>3） 具有住房和城乡建设部颁发的二级或以上建造师（机电工程专业）证书2人及以上得10分，其他情况不得分；</w:t>
            </w:r>
          </w:p>
          <w:p>
            <w:pPr>
              <w:spacing w:line="240" w:lineRule="exact"/>
              <w:jc w:val="left"/>
            </w:pPr>
            <w:r>
              <w:rPr>
                <w:rFonts w:hint="eastAsia"/>
              </w:rPr>
              <w:t>4）具有计算机技术与软件专业技术资格证书（专业：网络工程师）2人及以上得10分，其他情况不得分；</w:t>
            </w:r>
          </w:p>
          <w:p>
            <w:pPr>
              <w:spacing w:line="240" w:lineRule="exact"/>
              <w:jc w:val="left"/>
            </w:pPr>
            <w:r>
              <w:rPr>
                <w:rFonts w:hint="eastAsia"/>
              </w:rPr>
              <w:t>5）具有PMP认证证书2人及以上得10分，其他情况不得分；</w:t>
            </w:r>
          </w:p>
          <w:p>
            <w:pPr>
              <w:spacing w:line="240" w:lineRule="exact"/>
              <w:jc w:val="left"/>
            </w:pPr>
            <w:r>
              <w:rPr>
                <w:rFonts w:hint="eastAsia"/>
              </w:rPr>
              <w:t>6）具有工业与信息技术考试管理中心颁发的职业技能证书（职业技能：灯光音响系统工程师专业）2人及以上得5分，其他情况不得分；</w:t>
            </w:r>
          </w:p>
          <w:p>
            <w:pPr>
              <w:spacing w:line="240" w:lineRule="exact"/>
              <w:jc w:val="left"/>
            </w:pPr>
            <w:r>
              <w:rPr>
                <w:rFonts w:hint="eastAsia"/>
              </w:rPr>
              <w:t>注：以上累计得分，满分55分。</w:t>
            </w:r>
          </w:p>
          <w:p>
            <w:pPr>
              <w:spacing w:line="240" w:lineRule="exact"/>
              <w:jc w:val="left"/>
            </w:pPr>
          </w:p>
          <w:p>
            <w:pPr>
              <w:spacing w:line="240" w:lineRule="exact"/>
              <w:jc w:val="left"/>
            </w:pPr>
            <w:r>
              <w:rPr>
                <w:rFonts w:hint="eastAsia"/>
              </w:rPr>
              <w:t>评分依据：</w:t>
            </w:r>
          </w:p>
          <w:p>
            <w:pPr>
              <w:spacing w:line="240" w:lineRule="exact"/>
              <w:jc w:val="left"/>
            </w:pPr>
            <w:r>
              <w:t>1</w:t>
            </w:r>
            <w:r>
              <w:rPr>
                <w:rFonts w:hint="eastAsia"/>
              </w:rPr>
              <w:t>.同一人持有不同证书不可重复得分，同一人员同时满足多项要求的，仅按最高分值项计算1次分值。</w:t>
            </w:r>
          </w:p>
          <w:p>
            <w:pPr>
              <w:spacing w:line="240" w:lineRule="exact"/>
              <w:jc w:val="left"/>
            </w:pPr>
            <w:r>
              <w:rPr>
                <w:rFonts w:hint="eastAsia"/>
              </w:rPr>
              <w:t>2. 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spacing w:line="240" w:lineRule="exact"/>
              <w:jc w:val="left"/>
            </w:pPr>
            <w:r>
              <w:rPr>
                <w:rFonts w:hint="eastAsia"/>
              </w:rPr>
              <w:t>3. 要求提供投标人相关证明资料作为得分依据。</w:t>
            </w:r>
          </w:p>
          <w:p>
            <w:pPr>
              <w:spacing w:line="240" w:lineRule="exact"/>
              <w:jc w:val="left"/>
            </w:pPr>
            <w:r>
              <w:rPr>
                <w:rFonts w:hint="eastAsia"/>
              </w:rPr>
              <w:t>4.以上资料均要求提供扫描件（或官方网站截图），原件备查。评分中出现无证明资料或专家无法凭所提供资料判断是否得分的情况，一律作不得分处理。</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sz w:val="20"/>
                <w:szCs w:val="20"/>
              </w:rPr>
            </w:pPr>
            <w:r>
              <w:rPr>
                <w:rFonts w:ascii="宋体" w:hAnsi="宋体" w:cs="宋体" w:hint="eastAsia"/>
                <w:kern w:val="0"/>
                <w:sz w:val="20"/>
                <w:szCs w:val="20"/>
              </w:rPr>
              <w:t>技术要求偏离情况</w:t>
            </w:r>
          </w:p>
        </w:tc>
        <w:tc>
          <w:tcPr>
            <w:tcW w:w="720" w:type="dxa"/>
            <w:vAlign w:val="center"/>
          </w:tcPr>
          <w:p>
            <w:pPr>
              <w:spacing w:line="240" w:lineRule="exact"/>
              <w:jc w:val="center"/>
              <w:rPr>
                <w:rFonts w:ascii="宋体" w:hAnsi="宋体"/>
                <w:sz w:val="20"/>
                <w:szCs w:val="20"/>
              </w:rPr>
            </w:pPr>
            <w:r>
              <w:rPr>
                <w:rFonts w:ascii="宋体" w:hAnsi="宋体" w:cs="宋体" w:hint="eastAsia"/>
                <w:sz w:val="20"/>
                <w:szCs w:val="20"/>
              </w:rPr>
              <w:t>45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vAlign w:val="center"/>
          </w:tcPr>
          <w:p>
            <w:pPr>
              <w:widowControl/>
              <w:jc w:val="left"/>
              <w:rPr>
                <w:rFonts w:cs="宋体"/>
                <w:sz w:val="20"/>
                <w:szCs w:val="20"/>
              </w:rPr>
            </w:pPr>
            <w:r>
              <w:rPr>
                <w:rFonts w:ascii="宋体" w:hAnsi="宋体" w:cs="宋体" w:hint="eastAsia"/>
                <w:kern w:val="0"/>
                <w:sz w:val="20"/>
                <w:szCs w:val="20"/>
              </w:rPr>
              <w:t>投标人应如实填写《技术要求偏离表》，评审委员会根据技术需求参数响应情况进行打分，各项技术参数指标及要求全部满足的得100分，所有标注“▲”的重要参数每项负偏离一</w:t>
            </w:r>
            <w:r>
              <w:rPr>
                <w:rFonts w:ascii="宋体" w:hAnsi="宋体" w:cs="宋体" w:hint="eastAsia"/>
                <w:color w:val="auto"/>
                <w:kern w:val="0"/>
                <w:sz w:val="20"/>
                <w:szCs w:val="20"/>
                <w:highlight w:val="none"/>
              </w:rPr>
              <w:t>扣</w:t>
            </w:r>
            <w:r>
              <w:rPr>
                <w:rFonts w:ascii="宋体" w:hAnsi="宋体" w:cs="宋体" w:hint="eastAsia"/>
                <w:color w:val="auto"/>
                <w:kern w:val="0"/>
                <w:sz w:val="20"/>
                <w:szCs w:val="20"/>
                <w:highlight w:val="none"/>
                <w:lang w:val="en-US" w:eastAsia="zh-CN"/>
              </w:rPr>
              <w:t>3.5</w:t>
            </w:r>
            <w:r>
              <w:rPr>
                <w:rFonts w:ascii="宋体" w:hAnsi="宋体" w:cs="宋体" w:hint="eastAsia"/>
                <w:color w:val="auto"/>
                <w:kern w:val="0"/>
                <w:sz w:val="20"/>
                <w:szCs w:val="20"/>
                <w:highlight w:val="none"/>
              </w:rPr>
              <w:t>分</w:t>
            </w:r>
            <w:r>
              <w:rPr>
                <w:rFonts w:ascii="宋体" w:hAnsi="宋体" w:cs="宋体" w:hint="eastAsia"/>
                <w:kern w:val="0"/>
                <w:sz w:val="20"/>
                <w:szCs w:val="20"/>
              </w:rPr>
              <w:t>，一般参数每负偏离一条扣0.1分，扣完为止。</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商务部分</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5</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restart"/>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免费保修期内售后服务条款偏离情况</w:t>
            </w:r>
          </w:p>
        </w:tc>
        <w:tc>
          <w:tcPr>
            <w:tcW w:w="720" w:type="dxa"/>
            <w:vAlign w:val="center"/>
          </w:tcPr>
          <w:p>
            <w:pPr>
              <w:spacing w:line="240" w:lineRule="exact"/>
              <w:jc w:val="center"/>
              <w:rPr>
                <w:rFonts w:ascii="宋体" w:eastAsia="宋体" w:hAnsi="宋体" w:hint="eastAsia"/>
                <w:color w:val="000000" w:themeColor="text1"/>
                <w:sz w:val="20"/>
                <w:szCs w:val="20"/>
                <w:highlight w:val="none"/>
                <w:lang w:eastAsia="zh-CN"/>
                <w14:textFill>
                  <w14:solidFill>
                    <w14:schemeClr w14:val="tx1"/>
                  </w14:solidFill>
                </w14:textFill>
              </w:rPr>
            </w:pPr>
            <w:r>
              <w:rPr>
                <w:rFonts w:ascii="宋体" w:hAnsi="宋体" w:cs="宋体" w:hint="eastAsia"/>
                <w:color w:val="000000" w:themeColor="text1"/>
                <w:sz w:val="20"/>
                <w:szCs w:val="20"/>
                <w:highlight w:val="none"/>
                <w:lang w:val="en-US" w:eastAsia="zh-CN"/>
                <w14:textFill>
                  <w14:solidFill>
                    <w14:schemeClr w14:val="tx1"/>
                  </w14:solidFill>
                </w14:textFill>
              </w:rPr>
              <w:t>2</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rPr>
            </w:pPr>
            <w:r>
              <w:rPr>
                <w:rFonts w:cs="宋体" w:hint="eastAsia"/>
                <w:sz w:val="20"/>
                <w:szCs w:val="20"/>
              </w:rPr>
              <w:t>投标人应如实填写《商务要求偏离表（免费保修期内售后服务要求）》，评审委员会根据响应情况进行打分，全部满足要求的得</w:t>
            </w:r>
            <w:r>
              <w:rPr>
                <w:sz w:val="20"/>
                <w:szCs w:val="20"/>
              </w:rPr>
              <w:t>100</w:t>
            </w:r>
            <w:r>
              <w:rPr>
                <w:rFonts w:cs="宋体" w:hint="eastAsia"/>
                <w:sz w:val="20"/>
                <w:szCs w:val="20"/>
              </w:rPr>
              <w:t>分，每负偏离一项扣3</w:t>
            </w:r>
            <w:r>
              <w:rPr>
                <w:rFonts w:hint="eastAsia"/>
                <w:sz w:val="20"/>
                <w:szCs w:val="20"/>
              </w:rPr>
              <w:t>5</w:t>
            </w:r>
            <w:r>
              <w:rPr>
                <w:rFonts w:cs="宋体" w:hint="eastAsia"/>
                <w:sz w:val="20"/>
                <w:szCs w:val="20"/>
              </w:rPr>
              <w:t>分，扣完为止。</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2</w:t>
            </w:r>
          </w:p>
        </w:tc>
        <w:tc>
          <w:tcPr>
            <w:tcW w:w="1814" w:type="dxa"/>
            <w:vAlign w:val="center"/>
          </w:tcPr>
          <w:p>
            <w:pPr>
              <w:spacing w:line="240" w:lineRule="exact"/>
              <w:jc w:val="center"/>
              <w:rPr>
                <w:rFonts w:ascii="宋体" w:hAnsi="宋体"/>
                <w:color w:val="FF0000"/>
                <w:sz w:val="20"/>
                <w:szCs w:val="20"/>
              </w:rPr>
            </w:pPr>
            <w:r>
              <w:rPr>
                <w:rFonts w:ascii="宋体" w:hAnsi="宋体" w:cs="宋体" w:hint="eastAsia"/>
                <w:sz w:val="20"/>
                <w:szCs w:val="20"/>
              </w:rPr>
              <w:t>免费保修期外售后服务条款偏离情况</w:t>
            </w:r>
          </w:p>
        </w:tc>
        <w:tc>
          <w:tcPr>
            <w:tcW w:w="720" w:type="dxa"/>
            <w:vAlign w:val="center"/>
          </w:tcPr>
          <w:p>
            <w:pPr>
              <w:spacing w:line="240" w:lineRule="exact"/>
              <w:jc w:val="center"/>
              <w:rPr>
                <w:rFonts w:ascii="宋体" w:eastAsia="宋体" w:hAnsi="宋体" w:hint="eastAsia"/>
                <w:color w:val="000000" w:themeColor="text1"/>
                <w:sz w:val="20"/>
                <w:szCs w:val="20"/>
                <w:highlight w:val="none"/>
                <w:lang w:eastAsia="zh-CN"/>
                <w14:textFill>
                  <w14:solidFill>
                    <w14:schemeClr w14:val="tx1"/>
                  </w14:solidFill>
                </w14:textFill>
              </w:rPr>
            </w:pPr>
            <w:r>
              <w:rPr>
                <w:rFonts w:ascii="宋体" w:hAnsi="宋体" w:cs="宋体" w:hint="eastAsia"/>
                <w:color w:val="000000" w:themeColor="text1"/>
                <w:sz w:val="20"/>
                <w:szCs w:val="20"/>
                <w:highlight w:val="none"/>
                <w:lang w:val="en-US" w:eastAsia="zh-CN"/>
                <w14:textFill>
                  <w14:solidFill>
                    <w14:schemeClr w14:val="tx1"/>
                  </w14:solidFill>
                </w14:textFill>
              </w:rPr>
              <w:t>1</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rPr>
            </w:pPr>
            <w:r>
              <w:rPr>
                <w:rFonts w:cs="宋体" w:hint="eastAsia"/>
                <w:sz w:val="20"/>
                <w:szCs w:val="20"/>
              </w:rPr>
              <w:t>投标人应如实填写《商务要求偏离表（免费保修期外售后服务要求）》，评审委员会根据响应情况进行打分，全部满足要求的得</w:t>
            </w:r>
            <w:r>
              <w:rPr>
                <w:sz w:val="20"/>
                <w:szCs w:val="20"/>
              </w:rPr>
              <w:t>100</w:t>
            </w:r>
            <w:r>
              <w:rPr>
                <w:rFonts w:cs="宋体" w:hint="eastAsia"/>
                <w:sz w:val="20"/>
                <w:szCs w:val="20"/>
              </w:rPr>
              <w:t>分，每负偏离一项扣</w:t>
            </w:r>
            <w:r>
              <w:rPr>
                <w:rFonts w:hint="eastAsia"/>
                <w:sz w:val="20"/>
                <w:szCs w:val="20"/>
              </w:rPr>
              <w:t>50</w:t>
            </w:r>
            <w:r>
              <w:rPr>
                <w:rFonts w:cs="宋体" w:hint="eastAsia"/>
                <w:sz w:val="20"/>
                <w:szCs w:val="20"/>
              </w:rPr>
              <w:t>分，扣完为止。</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3</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其他商务条款偏离情况</w:t>
            </w:r>
          </w:p>
        </w:tc>
        <w:tc>
          <w:tcPr>
            <w:tcW w:w="720" w:type="dxa"/>
            <w:vAlign w:val="center"/>
          </w:tcPr>
          <w:p>
            <w:pPr>
              <w:spacing w:line="240" w:lineRule="exact"/>
              <w:jc w:val="center"/>
              <w:rPr>
                <w:rFonts w:ascii="宋体" w:hAnsi="宋体"/>
                <w:sz w:val="20"/>
                <w:szCs w:val="20"/>
              </w:rPr>
            </w:pPr>
            <w:r>
              <w:rPr>
                <w:rFonts w:ascii="宋体" w:hAnsi="宋体" w:cs="宋体" w:hint="eastAsia"/>
                <w:sz w:val="20"/>
                <w:szCs w:val="20"/>
              </w:rPr>
              <w:t>2</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vAlign w:val="center"/>
          </w:tcPr>
          <w:p>
            <w:pPr>
              <w:rPr>
                <w:rFonts w:cs="宋体"/>
                <w:sz w:val="20"/>
                <w:szCs w:val="20"/>
              </w:rPr>
            </w:pPr>
            <w:r>
              <w:rPr>
                <w:rFonts w:cs="宋体" w:hint="eastAsia"/>
                <w:sz w:val="20"/>
                <w:szCs w:val="20"/>
              </w:rPr>
              <w:t>投标人应如实填写《商务要求偏离表（其他商务要求）》，评审委员会根据响应情况进行打分，全部满足要求的得</w:t>
            </w:r>
            <w:r>
              <w:rPr>
                <w:sz w:val="20"/>
                <w:szCs w:val="20"/>
              </w:rPr>
              <w:t>100</w:t>
            </w:r>
            <w:r>
              <w:rPr>
                <w:rFonts w:cs="宋体" w:hint="eastAsia"/>
                <w:sz w:val="20"/>
                <w:szCs w:val="20"/>
              </w:rPr>
              <w:t>分，每负偏离一项扣</w:t>
            </w:r>
            <w:r>
              <w:rPr>
                <w:rFonts w:hint="eastAsia"/>
                <w:sz w:val="20"/>
                <w:szCs w:val="20"/>
              </w:rPr>
              <w:t>12</w:t>
            </w:r>
            <w:r>
              <w:rPr>
                <w:rFonts w:cs="宋体" w:hint="eastAsia"/>
                <w:sz w:val="20"/>
                <w:szCs w:val="20"/>
              </w:rPr>
              <w:t>分，扣完为止。</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hint="eastAsia"/>
                <w:sz w:val="20"/>
                <w:szCs w:val="20"/>
              </w:rPr>
              <w:t>4</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诚信情况</w:t>
            </w:r>
          </w:p>
        </w:tc>
        <w:tc>
          <w:tcPr>
            <w:tcW w:w="4328"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hint="eastAsia"/>
                <w:sz w:val="20"/>
                <w:szCs w:val="20"/>
              </w:rPr>
              <w:t>5</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restart"/>
            <w:vAlign w:val="center"/>
          </w:tcPr>
          <w:p>
            <w:pPr>
              <w:spacing w:line="240" w:lineRule="exact"/>
              <w:jc w:val="center"/>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评审因素</w:t>
            </w:r>
          </w:p>
        </w:tc>
        <w:tc>
          <w:tcPr>
            <w:tcW w:w="720" w:type="dxa"/>
            <w:vAlign w:val="center"/>
          </w:tcPr>
          <w:p>
            <w:pPr>
              <w:spacing w:line="240" w:lineRule="exact"/>
              <w:jc w:val="center"/>
              <w:rPr>
                <w:rFonts w:ascii="宋体" w:hAnsi="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 w:val="20"/>
                <w:szCs w:val="20"/>
              </w:rPr>
            </w:pPr>
            <w:r>
              <w:rPr>
                <w:rFonts w:ascii="宋体" w:hAnsi="宋体" w:hint="eastAsia"/>
                <w:sz w:val="20"/>
                <w:szCs w:val="20"/>
              </w:rPr>
              <w:t>评分准则</w:t>
            </w:r>
          </w:p>
        </w:tc>
      </w:tr>
      <w:tr>
        <w:tblPrEx>
          <w:tblW w:w="8449" w:type="dxa"/>
          <w:jc w:val="center"/>
          <w:tblLayout w:type="fixed"/>
          <w:tblCellMar>
            <w:top w:w="0" w:type="dxa"/>
            <w:left w:w="108" w:type="dxa"/>
            <w:bottom w:w="0" w:type="dxa"/>
            <w:right w:w="108" w:type="dxa"/>
          </w:tblCellMar>
        </w:tblPrEx>
        <w:trPr>
          <w:trHeight w:val="90"/>
          <w:jc w:val="center"/>
        </w:trPr>
        <w:tc>
          <w:tcPr>
            <w:tcW w:w="416" w:type="dxa"/>
            <w:vMerge/>
            <w:vAlign w:val="center"/>
          </w:tcPr>
          <w:p>
            <w:pPr>
              <w:keepNext/>
              <w:keepLines/>
              <w:spacing w:before="340" w:after="330" w:line="240" w:lineRule="exact"/>
              <w:jc w:val="center"/>
              <w:outlineLvl w:val="0"/>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sz w:val="20"/>
                <w:szCs w:val="20"/>
              </w:rPr>
              <w:t>1</w:t>
            </w:r>
          </w:p>
        </w:tc>
        <w:tc>
          <w:tcPr>
            <w:tcW w:w="1814" w:type="dxa"/>
            <w:vAlign w:val="center"/>
          </w:tcPr>
          <w:p>
            <w:pPr>
              <w:spacing w:line="240" w:lineRule="exact"/>
              <w:jc w:val="center"/>
              <w:rPr>
                <w:rFonts w:ascii="宋体" w:hAnsi="宋体"/>
                <w:sz w:val="20"/>
                <w:szCs w:val="20"/>
              </w:rPr>
            </w:pPr>
            <w:r>
              <w:rPr>
                <w:rFonts w:ascii="宋体" w:hAnsi="宋体" w:hint="eastAsia"/>
                <w:sz w:val="20"/>
                <w:szCs w:val="20"/>
              </w:rPr>
              <w:t>诚信</w:t>
            </w:r>
          </w:p>
        </w:tc>
        <w:tc>
          <w:tcPr>
            <w:tcW w:w="720" w:type="dxa"/>
            <w:vAlign w:val="center"/>
          </w:tcPr>
          <w:p>
            <w:pPr>
              <w:spacing w:line="240" w:lineRule="exact"/>
              <w:jc w:val="center"/>
              <w:rPr>
                <w:rFonts w:ascii="宋体" w:hAnsi="宋体"/>
                <w:sz w:val="20"/>
                <w:szCs w:val="20"/>
              </w:rPr>
            </w:pPr>
            <w:r>
              <w:rPr>
                <w:rFonts w:ascii="宋体" w:hAnsi="宋体"/>
                <w:sz w:val="20"/>
                <w:szCs w:val="20"/>
              </w:rPr>
              <w:t>5</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专家评分</w:t>
            </w:r>
          </w:p>
        </w:tc>
        <w:tc>
          <w:tcPr>
            <w:tcW w:w="4328" w:type="dxa"/>
          </w:tcPr>
          <w:p>
            <w:pPr>
              <w:rPr>
                <w:rFonts w:ascii="宋体" w:hAnsi="宋体"/>
                <w:sz w:val="20"/>
                <w:szCs w:val="20"/>
              </w:rPr>
            </w:pPr>
            <w:r>
              <w:rPr>
                <w:rFonts w:ascii="宋体" w:hAnsi="宋体" w:cs="宋体" w:hint="eastAsia"/>
                <w:sz w:val="20"/>
                <w:szCs w:val="20"/>
              </w:rPr>
              <w:t>投标人在参与政府采购活动中存在诚信相关问题且在主管部门相关处理措施实施期限内的，本项不得分，否则得满分。投标人无需提供任何证明材料，由工作人员向评审委员会提供相关信息。</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Align w:val="center"/>
          </w:tcPr>
          <w:p>
            <w:pPr>
              <w:spacing w:line="240" w:lineRule="exact"/>
              <w:jc w:val="center"/>
              <w:rPr>
                <w:rFonts w:ascii="宋体" w:hAnsi="宋体"/>
                <w:sz w:val="20"/>
                <w:szCs w:val="20"/>
              </w:rPr>
            </w:pPr>
            <w:r>
              <w:rPr>
                <w:rFonts w:ascii="宋体" w:hAnsi="宋体" w:hint="eastAsia"/>
                <w:sz w:val="20"/>
                <w:szCs w:val="20"/>
              </w:rPr>
              <w:t>5</w:t>
            </w:r>
          </w:p>
        </w:tc>
        <w:tc>
          <w:tcPr>
            <w:tcW w:w="3705" w:type="dxa"/>
            <w:gridSpan w:val="4"/>
            <w:vAlign w:val="center"/>
          </w:tcPr>
          <w:p>
            <w:pPr>
              <w:spacing w:line="240" w:lineRule="exact"/>
              <w:jc w:val="center"/>
              <w:rPr>
                <w:rFonts w:ascii="宋体" w:hAnsi="宋体"/>
                <w:sz w:val="20"/>
                <w:szCs w:val="20"/>
              </w:rPr>
            </w:pPr>
            <w:r>
              <w:rPr>
                <w:rFonts w:ascii="宋体" w:hAnsi="宋体" w:hint="eastAsia"/>
                <w:sz w:val="20"/>
                <w:szCs w:val="20"/>
              </w:rPr>
              <w:t>综合实力</w:t>
            </w:r>
          </w:p>
        </w:tc>
        <w:tc>
          <w:tcPr>
            <w:tcW w:w="4328" w:type="dxa"/>
            <w:vAlign w:val="center"/>
          </w:tcPr>
          <w:p>
            <w:pPr>
              <w:pStyle w:val="Header"/>
              <w:pBdr>
                <w:bottom w:val="nil"/>
              </w:pBdr>
              <w:tabs>
                <w:tab w:val="clear" w:pos="4153"/>
                <w:tab w:val="clear" w:pos="8306"/>
              </w:tabs>
              <w:spacing w:line="300" w:lineRule="auto"/>
              <w:rPr>
                <w:rFonts w:ascii="宋体" w:hAnsi="宋体"/>
                <w:sz w:val="20"/>
                <w:szCs w:val="20"/>
              </w:rPr>
            </w:pPr>
            <w:r>
              <w:rPr>
                <w:rFonts w:ascii="宋体" w:hAnsi="宋体" w:hint="eastAsia"/>
                <w:sz w:val="20"/>
                <w:szCs w:val="20"/>
              </w:rPr>
              <w:t>7</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restart"/>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序号</w:t>
            </w:r>
          </w:p>
        </w:tc>
        <w:tc>
          <w:tcPr>
            <w:tcW w:w="1814" w:type="dxa"/>
            <w:vAlign w:val="center"/>
          </w:tcPr>
          <w:p>
            <w:pPr>
              <w:spacing w:line="240" w:lineRule="exact"/>
              <w:jc w:val="center"/>
              <w:rPr>
                <w:rFonts w:ascii="宋体" w:hAnsi="宋体"/>
                <w:szCs w:val="21"/>
              </w:rPr>
            </w:pPr>
            <w:r>
              <w:rPr>
                <w:rFonts w:ascii="宋体" w:hAnsi="宋体" w:hint="eastAsia"/>
                <w:sz w:val="20"/>
                <w:szCs w:val="20"/>
              </w:rPr>
              <w:t>评审因素</w:t>
            </w:r>
          </w:p>
        </w:tc>
        <w:tc>
          <w:tcPr>
            <w:tcW w:w="720" w:type="dxa"/>
            <w:vAlign w:val="center"/>
          </w:tcPr>
          <w:p>
            <w:pPr>
              <w:spacing w:line="240" w:lineRule="exact"/>
              <w:jc w:val="center"/>
              <w:rPr>
                <w:rFonts w:ascii="宋体" w:hAnsi="宋体" w:cs="宋体"/>
                <w:sz w:val="20"/>
                <w:szCs w:val="20"/>
              </w:rPr>
            </w:pPr>
            <w:r>
              <w:rPr>
                <w:rFonts w:ascii="宋体" w:hAnsi="宋体" w:hint="eastAsia"/>
                <w:sz w:val="20"/>
                <w:szCs w:val="20"/>
              </w:rPr>
              <w:t>权重</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评分方式</w:t>
            </w:r>
          </w:p>
        </w:tc>
        <w:tc>
          <w:tcPr>
            <w:tcW w:w="4328" w:type="dxa"/>
            <w:vAlign w:val="center"/>
          </w:tcPr>
          <w:p>
            <w:pPr>
              <w:spacing w:line="240" w:lineRule="exact"/>
              <w:jc w:val="center"/>
              <w:rPr>
                <w:rFonts w:ascii="宋体" w:hAnsi="宋体"/>
                <w:szCs w:val="21"/>
              </w:rPr>
            </w:pPr>
            <w:r>
              <w:rPr>
                <w:rFonts w:ascii="宋体" w:hAnsi="宋体" w:hint="eastAsia"/>
                <w:sz w:val="20"/>
                <w:szCs w:val="20"/>
              </w:rPr>
              <w:t>评分准则</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1</w:t>
            </w:r>
          </w:p>
        </w:tc>
        <w:tc>
          <w:tcPr>
            <w:tcW w:w="1814" w:type="dxa"/>
            <w:vAlign w:val="center"/>
          </w:tcPr>
          <w:p>
            <w:pPr>
              <w:spacing w:line="240" w:lineRule="exact"/>
              <w:jc w:val="center"/>
              <w:rPr>
                <w:rFonts w:ascii="宋体" w:hAnsi="宋体"/>
                <w:color w:val="FF0000"/>
                <w:sz w:val="20"/>
                <w:szCs w:val="20"/>
              </w:rPr>
            </w:pPr>
            <w:r>
              <w:rPr>
                <w:rFonts w:ascii="宋体" w:hAnsi="宋体" w:hint="eastAsia"/>
                <w:szCs w:val="21"/>
              </w:rPr>
              <w:t>投标人认证情况</w:t>
            </w:r>
          </w:p>
        </w:tc>
        <w:tc>
          <w:tcPr>
            <w:tcW w:w="720" w:type="dxa"/>
            <w:vAlign w:val="center"/>
          </w:tcPr>
          <w:p>
            <w:pPr>
              <w:spacing w:line="240" w:lineRule="exact"/>
              <w:jc w:val="center"/>
              <w:rPr>
                <w:rFonts w:ascii="宋体" w:hAnsi="宋体"/>
                <w:sz w:val="20"/>
                <w:szCs w:val="20"/>
              </w:rPr>
            </w:pPr>
            <w:r>
              <w:rPr>
                <w:rFonts w:ascii="宋体" w:hAnsi="宋体" w:cs="宋体"/>
                <w:sz w:val="20"/>
                <w:szCs w:val="20"/>
              </w:rPr>
              <w:t>3</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tcPr>
          <w:p>
            <w:pPr>
              <w:spacing w:line="260" w:lineRule="exact"/>
              <w:rPr>
                <w:rFonts w:ascii="宋体" w:hAnsi="宋体" w:cs="宋体"/>
                <w:szCs w:val="21"/>
              </w:rPr>
            </w:pPr>
            <w:r>
              <w:rPr>
                <w:rFonts w:ascii="宋体" w:hAnsi="宋体" w:cs="宋体" w:hint="eastAsia"/>
                <w:szCs w:val="21"/>
              </w:rPr>
              <w:t>评分内容：</w:t>
            </w:r>
          </w:p>
          <w:p>
            <w:pPr>
              <w:rPr>
                <w:rFonts w:ascii="宋体" w:hAnsi="宋体" w:cs="宋体"/>
                <w:szCs w:val="21"/>
              </w:rPr>
            </w:pPr>
            <w:r>
              <w:rPr>
                <w:rFonts w:ascii="宋体" w:hAnsi="宋体" w:cs="宋体" w:hint="eastAsia"/>
                <w:szCs w:val="21"/>
              </w:rPr>
              <w:t>1.投标人具备ISO9001质量管理体系认证证书的，得50分</w:t>
            </w:r>
          </w:p>
          <w:p>
            <w:pPr>
              <w:rPr>
                <w:rFonts w:ascii="宋体" w:hAnsi="宋体" w:cs="宋体"/>
                <w:szCs w:val="21"/>
              </w:rPr>
            </w:pPr>
            <w:r>
              <w:rPr>
                <w:rFonts w:ascii="宋体" w:hAnsi="宋体" w:cs="宋体" w:hint="eastAsia"/>
                <w:szCs w:val="21"/>
              </w:rPr>
              <w:t>2.投标人具备ISO27001信息安全管理体系认证证书的，得50分。</w:t>
            </w:r>
          </w:p>
          <w:p>
            <w:pPr>
              <w:spacing w:line="260" w:lineRule="exact"/>
              <w:rPr>
                <w:rFonts w:ascii="宋体" w:hAnsi="宋体" w:cs="宋体"/>
                <w:szCs w:val="21"/>
              </w:rPr>
            </w:pPr>
            <w:r>
              <w:rPr>
                <w:rFonts w:ascii="宋体" w:hAnsi="宋体" w:cs="宋体" w:hint="eastAsia"/>
                <w:szCs w:val="21"/>
              </w:rPr>
              <w:t>（二）评分依据：</w:t>
            </w:r>
          </w:p>
          <w:p>
            <w:pPr>
              <w:pStyle w:val="BodyText3"/>
              <w:rPr>
                <w:sz w:val="21"/>
                <w:szCs w:val="21"/>
              </w:rPr>
            </w:pPr>
            <w:r>
              <w:rPr>
                <w:rFonts w:hint="eastAsia"/>
                <w:sz w:val="21"/>
                <w:szCs w:val="21"/>
              </w:rPr>
              <w:t>1.要求提供有效的认证证书和出具证书官网或全国认证认可信息公共服务平台（http://cx.cnca.cn/）的证书查询记录。认证证书在公开渠道无法查询的，需提供颁发机构的证明材料，证明证书真实有效。作为得分依据。</w:t>
            </w:r>
          </w:p>
          <w:p>
            <w:pPr>
              <w:pStyle w:val="BodyText3"/>
              <w:rPr>
                <w:sz w:val="21"/>
                <w:szCs w:val="21"/>
              </w:rPr>
            </w:pPr>
            <w:r>
              <w:rPr>
                <w:rFonts w:hint="eastAsia"/>
                <w:sz w:val="21"/>
                <w:szCs w:val="21"/>
              </w:rPr>
              <w:t>2.以上资料均要求提供扫描件，原件备查。</w:t>
            </w:r>
            <w:r>
              <w:rPr>
                <w:sz w:val="21"/>
                <w:szCs w:val="21"/>
              </w:rPr>
              <w:t>评分中出现无证明资料或专家无法凭所提供资料判断是否得分的情况，一律作不得分处理。</w:t>
            </w:r>
          </w:p>
        </w:tc>
      </w:tr>
      <w:tr>
        <w:tblPrEx>
          <w:tblW w:w="8449" w:type="dxa"/>
          <w:jc w:val="center"/>
          <w:tblLayout w:type="fixed"/>
          <w:tblCellMar>
            <w:top w:w="0" w:type="dxa"/>
            <w:left w:w="108" w:type="dxa"/>
            <w:bottom w:w="0" w:type="dxa"/>
            <w:right w:w="108" w:type="dxa"/>
          </w:tblCellMar>
        </w:tblPrEx>
        <w:trPr>
          <w:trHeight w:val="57"/>
          <w:jc w:val="center"/>
        </w:trPr>
        <w:tc>
          <w:tcPr>
            <w:tcW w:w="416" w:type="dxa"/>
            <w:vMerge/>
            <w:vAlign w:val="center"/>
          </w:tcPr>
          <w:p>
            <w:pPr>
              <w:keepNext/>
              <w:keepLines/>
              <w:spacing w:before="260" w:after="260" w:line="240" w:lineRule="exact"/>
              <w:jc w:val="center"/>
              <w:outlineLvl w:val="2"/>
              <w:rPr>
                <w:rFonts w:ascii="宋体" w:hAnsi="宋体"/>
                <w:sz w:val="20"/>
                <w:szCs w:val="20"/>
              </w:rPr>
            </w:pPr>
          </w:p>
        </w:tc>
        <w:tc>
          <w:tcPr>
            <w:tcW w:w="416" w:type="dxa"/>
            <w:vAlign w:val="center"/>
          </w:tcPr>
          <w:p>
            <w:pPr>
              <w:spacing w:line="240" w:lineRule="exact"/>
              <w:jc w:val="center"/>
              <w:rPr>
                <w:rFonts w:ascii="宋体" w:hAnsi="宋体"/>
                <w:sz w:val="20"/>
                <w:szCs w:val="20"/>
              </w:rPr>
            </w:pPr>
            <w:r>
              <w:rPr>
                <w:rFonts w:ascii="宋体" w:hAnsi="宋体" w:hint="eastAsia"/>
                <w:sz w:val="20"/>
                <w:szCs w:val="20"/>
              </w:rPr>
              <w:t>2</w:t>
            </w:r>
          </w:p>
        </w:tc>
        <w:tc>
          <w:tcPr>
            <w:tcW w:w="1814" w:type="dxa"/>
            <w:vAlign w:val="center"/>
          </w:tcPr>
          <w:p>
            <w:pPr>
              <w:pStyle w:val="Header"/>
              <w:pBdr>
                <w:bottom w:val="nil"/>
              </w:pBdr>
              <w:tabs>
                <w:tab w:val="clear" w:pos="4153"/>
                <w:tab w:val="clear" w:pos="8306"/>
              </w:tabs>
              <w:spacing w:line="300" w:lineRule="auto"/>
              <w:rPr>
                <w:rFonts w:ascii="宋体" w:hAnsi="宋体"/>
                <w:szCs w:val="21"/>
              </w:rPr>
            </w:pPr>
            <w:r>
              <w:rPr>
                <w:rFonts w:ascii="宋体" w:hAnsi="宋体" w:cs="宋体" w:hint="eastAsia"/>
                <w:sz w:val="20"/>
                <w:szCs w:val="20"/>
              </w:rPr>
              <w:t>投标人同类业绩</w:t>
            </w:r>
          </w:p>
        </w:tc>
        <w:tc>
          <w:tcPr>
            <w:tcW w:w="720" w:type="dxa"/>
            <w:vAlign w:val="center"/>
          </w:tcPr>
          <w:p>
            <w:pPr>
              <w:spacing w:line="240" w:lineRule="exact"/>
              <w:jc w:val="center"/>
              <w:rPr>
                <w:rFonts w:ascii="宋体" w:hAnsi="宋体"/>
                <w:sz w:val="20"/>
                <w:szCs w:val="20"/>
              </w:rPr>
            </w:pPr>
            <w:r>
              <w:rPr>
                <w:rFonts w:ascii="宋体" w:hAnsi="宋体" w:hint="eastAsia"/>
                <w:sz w:val="20"/>
                <w:szCs w:val="20"/>
              </w:rPr>
              <w:t>4</w:t>
            </w:r>
          </w:p>
        </w:tc>
        <w:tc>
          <w:tcPr>
            <w:tcW w:w="755" w:type="dxa"/>
            <w:vAlign w:val="center"/>
          </w:tcPr>
          <w:p>
            <w:pPr>
              <w:spacing w:line="240" w:lineRule="exact"/>
              <w:jc w:val="center"/>
              <w:rPr>
                <w:rFonts w:ascii="宋体" w:hAnsi="宋体"/>
                <w:sz w:val="20"/>
                <w:szCs w:val="20"/>
              </w:rPr>
            </w:pPr>
            <w:r>
              <w:rPr>
                <w:rFonts w:ascii="宋体" w:hAnsi="宋体" w:hint="eastAsia"/>
                <w:sz w:val="20"/>
                <w:szCs w:val="20"/>
              </w:rPr>
              <w:t>专家打分</w:t>
            </w:r>
          </w:p>
        </w:tc>
        <w:tc>
          <w:tcPr>
            <w:tcW w:w="4328" w:type="dxa"/>
          </w:tcPr>
          <w:p>
            <w:pPr>
              <w:spacing w:line="260" w:lineRule="exact"/>
              <w:rPr>
                <w:rFonts w:ascii="宋体" w:hAnsi="宋体" w:cs="宋体"/>
                <w:szCs w:val="21"/>
              </w:rPr>
            </w:pPr>
            <w:r>
              <w:rPr>
                <w:rFonts w:ascii="宋体" w:hAnsi="宋体" w:cs="宋体" w:hint="eastAsia"/>
                <w:szCs w:val="21"/>
              </w:rPr>
              <w:t>提供</w:t>
            </w:r>
            <w:r>
              <w:rPr>
                <w:rFonts w:ascii="宋体" w:hAnsi="宋体" w:cs="宋体"/>
                <w:szCs w:val="21"/>
              </w:rPr>
              <w:t>投标人</w:t>
            </w:r>
            <w:r>
              <w:rPr>
                <w:rFonts w:ascii="宋体" w:hAnsi="宋体" w:cs="宋体" w:hint="eastAsia"/>
                <w:szCs w:val="21"/>
              </w:rPr>
              <w:t>自</w:t>
            </w:r>
            <w:r>
              <w:rPr>
                <w:rFonts w:ascii="宋体" w:hAnsi="宋体" w:cs="宋体"/>
                <w:szCs w:val="21"/>
              </w:rPr>
              <w:t>20</w:t>
            </w:r>
            <w:r>
              <w:rPr>
                <w:rFonts w:ascii="宋体" w:hAnsi="宋体" w:cs="宋体" w:hint="eastAsia"/>
                <w:szCs w:val="21"/>
              </w:rPr>
              <w:t>20</w:t>
            </w:r>
            <w:r>
              <w:rPr>
                <w:rFonts w:ascii="宋体" w:hAnsi="宋体" w:cs="宋体"/>
                <w:szCs w:val="21"/>
              </w:rPr>
              <w:t>年</w:t>
            </w:r>
            <w:r>
              <w:rPr>
                <w:rFonts w:ascii="宋体" w:hAnsi="宋体" w:cs="宋体" w:hint="eastAsia"/>
                <w:szCs w:val="21"/>
              </w:rPr>
              <w:t>1</w:t>
            </w:r>
            <w:r>
              <w:rPr>
                <w:rFonts w:ascii="宋体" w:hAnsi="宋体" w:cs="宋体"/>
                <w:szCs w:val="21"/>
              </w:rPr>
              <w:t>月1日至本项目</w:t>
            </w:r>
            <w:r>
              <w:rPr>
                <w:rFonts w:ascii="宋体" w:hAnsi="宋体" w:cs="宋体" w:hint="eastAsia"/>
                <w:szCs w:val="21"/>
              </w:rPr>
              <w:t>投标截止日（</w:t>
            </w:r>
            <w:r>
              <w:rPr>
                <w:rFonts w:ascii="宋体" w:hAnsi="宋体" w:cs="宋体"/>
                <w:szCs w:val="21"/>
              </w:rPr>
              <w:t>以合同签订之日为准）多媒体教学或智慧教室建设</w:t>
            </w:r>
            <w:r>
              <w:rPr>
                <w:rFonts w:ascii="宋体" w:hAnsi="宋体" w:cs="宋体" w:hint="eastAsia"/>
                <w:szCs w:val="21"/>
              </w:rPr>
              <w:t>的同类</w:t>
            </w:r>
            <w:r>
              <w:rPr>
                <w:rFonts w:ascii="宋体" w:hAnsi="宋体" w:cs="宋体"/>
                <w:szCs w:val="21"/>
              </w:rPr>
              <w:t>业绩：提供4个得100分，提供3个得75分，提供2个得50分，提供1个得25分，未提供的不得分。</w:t>
            </w:r>
          </w:p>
          <w:p>
            <w:pPr>
              <w:spacing w:line="260" w:lineRule="exact"/>
              <w:rPr>
                <w:rFonts w:ascii="宋体" w:hAnsi="宋体" w:cs="宋体"/>
                <w:szCs w:val="21"/>
              </w:rPr>
            </w:pPr>
            <w:r>
              <w:rPr>
                <w:rFonts w:ascii="宋体" w:hAnsi="宋体" w:cs="宋体" w:hint="eastAsia"/>
                <w:szCs w:val="21"/>
              </w:rPr>
              <w:t>1.要求提供每一个项目的合同关键页（包含但不限于金额页、建设内容页及盖章页）和履约评价合格（或以上）或者验收合格证明文件，履约评价合格</w:t>
            </w:r>
            <w:r>
              <w:rPr>
                <w:rFonts w:hint="eastAsia"/>
              </w:rPr>
              <w:t>（或以上）</w:t>
            </w:r>
            <w:r>
              <w:rPr>
                <w:rFonts w:ascii="宋体" w:hAnsi="宋体" w:cs="宋体" w:hint="eastAsia"/>
                <w:szCs w:val="21"/>
              </w:rPr>
              <w:t>或者验收合格证明文件需加盖合同甲方公章（或甲方业务章）。</w:t>
            </w:r>
          </w:p>
          <w:p>
            <w:pPr>
              <w:pStyle w:val="BodyText2"/>
              <w:spacing w:line="240" w:lineRule="auto"/>
              <w:rPr>
                <w:rFonts w:ascii="宋体" w:hAnsi="宋体" w:cs="宋体"/>
                <w:sz w:val="20"/>
                <w:szCs w:val="20"/>
              </w:rPr>
            </w:pPr>
            <w:r>
              <w:rPr>
                <w:rFonts w:ascii="宋体" w:hAnsi="宋体" w:cs="宋体" w:hint="eastAsia"/>
                <w:sz w:val="21"/>
                <w:szCs w:val="21"/>
              </w:rPr>
              <w:t>2.以上资料均要求提供扫描件，原件备查。评分中出现无证明资料或专家无法凭所提供资料判断是否得分的情况，一律作不得分处理。</w:t>
            </w:r>
          </w:p>
        </w:tc>
      </w:tr>
    </w:tbl>
    <w:p>
      <w:pPr>
        <w:sectPr>
          <w:footerReference w:type="even" r:id="rId5"/>
          <w:footerReference w:type="default" r:id="rId6"/>
          <w:pgSz w:w="11907" w:h="16840"/>
          <w:pgMar w:top="1440" w:right="1418" w:bottom="1440" w:left="1418" w:header="851" w:footer="992" w:gutter="0"/>
          <w:cols w:num="1" w:space="425"/>
          <w:titlePg/>
          <w:docGrid w:linePitch="462" w:charSpace="0"/>
        </w:sectPr>
      </w:pPr>
      <w:bookmarkEnd w:id="3"/>
    </w:p>
    <w:p/>
    <w:p/>
    <w:p>
      <w:pPr>
        <w:jc w:val="center"/>
        <w:rPr>
          <w:b/>
          <w:sz w:val="84"/>
          <w:szCs w:val="84"/>
        </w:rPr>
      </w:pPr>
    </w:p>
    <w:p>
      <w:pPr>
        <w:jc w:val="center"/>
        <w:rPr>
          <w:b/>
          <w:sz w:val="84"/>
          <w:szCs w:val="84"/>
        </w:rPr>
      </w:pPr>
    </w:p>
    <w:p>
      <w:pPr>
        <w:jc w:val="center"/>
        <w:rPr>
          <w:b/>
          <w:sz w:val="84"/>
          <w:szCs w:val="84"/>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
    <w:p/>
    <w:p/>
    <w:p/>
    <w:p/>
    <w:p/>
    <w:p>
      <w:pPr>
        <w:jc w:val="center"/>
        <w:rPr>
          <w:b/>
          <w:sz w:val="44"/>
          <w:szCs w:val="44"/>
        </w:rPr>
      </w:pPr>
      <w:bookmarkStart w:id="4" w:name="_Hlk71465316"/>
      <w:r>
        <w:rPr>
          <w:rFonts w:hint="eastAsia"/>
          <w:b/>
          <w:sz w:val="44"/>
          <w:szCs w:val="44"/>
        </w:rPr>
        <w:t>深圳公共资源交易中心</w:t>
      </w:r>
    </w:p>
    <w:p>
      <w:pPr>
        <w:jc w:val="center"/>
        <w:rPr>
          <w:b/>
          <w:sz w:val="44"/>
          <w:szCs w:val="44"/>
        </w:rPr>
      </w:pPr>
      <w:r>
        <w:rPr>
          <w:rFonts w:hint="eastAsia"/>
          <w:b/>
          <w:sz w:val="44"/>
          <w:szCs w:val="44"/>
        </w:rPr>
        <w:t>（2023年）</w:t>
      </w:r>
      <w:bookmarkEnd w:id="4"/>
    </w:p>
    <w:p>
      <w:pPr>
        <w:ind w:firstLine="435"/>
        <w:jc w:val="left"/>
      </w:pPr>
    </w:p>
    <w:p>
      <w:pPr>
        <w:widowControl/>
        <w:jc w:val="left"/>
      </w:pPr>
      <w:r>
        <w:br w:type="page"/>
      </w:r>
    </w:p>
    <w:p>
      <w:pPr>
        <w:ind w:firstLine="3150" w:firstLineChars="1500"/>
        <w:rPr>
          <w:rFonts w:ascii="宋体" w:hAnsi="宋体"/>
          <w:color w:val="FF0000"/>
          <w:szCs w:val="21"/>
        </w:rPr>
      </w:pPr>
      <w:bookmarkStart w:id="5" w:name="_Hlk72218009"/>
      <w:r>
        <w:rPr>
          <w:rFonts w:ascii="宋体" w:eastAsia="黑体" w:hAnsi="宋体" w:hint="eastAsia"/>
          <w:b/>
          <w:bCs/>
          <w:color w:val="FF0000"/>
          <w:kern w:val="44"/>
          <w:sz w:val="28"/>
          <w:szCs w:val="44"/>
        </w:rPr>
        <w:t>警示条款</w:t>
      </w:r>
    </w:p>
    <w:p>
      <w:pPr>
        <w:ind w:firstLine="420" w:firstLineChars="200"/>
        <w:rPr>
          <w:rFonts w:ascii="宋体" w:hAnsi="宋体"/>
          <w:color w:val="FF0000"/>
          <w:sz w:val="20"/>
          <w:szCs w:val="20"/>
        </w:rPr>
      </w:pPr>
    </w:p>
    <w:p>
      <w:pPr>
        <w:ind w:firstLine="42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2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2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2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2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20" w:firstLineChars="200"/>
        <w:rPr>
          <w:rFonts w:ascii="宋体" w:hAnsi="宋体"/>
          <w:color w:val="FF0000"/>
          <w:sz w:val="20"/>
          <w:szCs w:val="20"/>
        </w:rPr>
      </w:pPr>
      <w:r>
        <w:rPr>
          <w:rFonts w:ascii="宋体" w:hAnsi="宋体" w:hint="eastAsia"/>
          <w:color w:val="FF0000"/>
          <w:sz w:val="20"/>
          <w:szCs w:val="20"/>
        </w:rPr>
        <w:t>（六）恶意投诉的；</w:t>
      </w:r>
    </w:p>
    <w:p>
      <w:pPr>
        <w:ind w:firstLine="42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2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2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20" w:firstLineChars="200"/>
        <w:rPr>
          <w:rFonts w:ascii="宋体" w:hAnsi="宋体"/>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2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20" w:firstLineChars="200"/>
        <w:rPr>
          <w:rFonts w:ascii="宋体" w:hAnsi="宋体"/>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pPr>
        <w:ind w:firstLine="420" w:firstLineChars="200"/>
        <w:rPr>
          <w:rFonts w:ascii="宋体" w:hAnsi="宋体"/>
          <w:color w:val="FF0000"/>
          <w:sz w:val="20"/>
          <w:szCs w:val="20"/>
        </w:rPr>
      </w:pPr>
      <w:r>
        <w:rPr>
          <w:rFonts w:ascii="宋体" w:hAnsi="宋体" w:hint="eastAsia"/>
          <w:color w:val="FF0000"/>
          <w:sz w:val="20"/>
          <w:szCs w:val="2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w:t>
      </w:r>
    </w:p>
    <w:p>
      <w:pPr>
        <w:ind w:firstLine="420" w:firstLineChars="200"/>
        <w:rPr>
          <w:rFonts w:ascii="宋体" w:hAnsi="宋体"/>
          <w:color w:val="FF0000"/>
          <w:sz w:val="20"/>
          <w:szCs w:val="20"/>
        </w:rPr>
      </w:pPr>
      <w:r>
        <w:rPr>
          <w:rFonts w:ascii="宋体" w:hAnsi="宋体" w:hint="eastAsia"/>
          <w:color w:val="FF0000"/>
          <w:sz w:val="20"/>
          <w:szCs w:val="20"/>
        </w:rPr>
        <w:t>注：该风险知悉确认书用于对供应商违法行为的警示，不作为供应商资格性审查及符合性审查条件。</w:t>
      </w:r>
    </w:p>
    <w:p>
      <w:pPr>
        <w:ind w:firstLine="420" w:firstLineChars="200"/>
        <w:rPr>
          <w:rFonts w:ascii="宋体" w:hAnsi="宋体"/>
          <w:color w:val="FF0000"/>
          <w:sz w:val="20"/>
          <w:szCs w:val="20"/>
        </w:rPr>
      </w:pPr>
      <w:r>
        <w:rPr>
          <w:rFonts w:ascii="宋体" w:hAnsi="宋体" w:hint="eastAsia"/>
          <w:color w:val="FF0000"/>
          <w:sz w:val="20"/>
          <w:szCs w:val="20"/>
        </w:rPr>
        <w:t>五、</w:t>
      </w:r>
      <w:r>
        <w:rPr>
          <w:rFonts w:ascii="宋体" w:hAnsi="宋体"/>
          <w:color w:val="FF0000"/>
          <w:sz w:val="20"/>
          <w:szCs w:val="20"/>
        </w:rPr>
        <w:t>供应商在使用深圳政府采购智慧平台的投标文件制作工具创建投标文件时，该工具将自动在投标文件中记录文件创建标识码，同时提取投标文件制作电脑的网卡MAC地址、硬盘序列号、CPU 序列号、主板序列号和工具标识号，经加密生成文件制作机器码并在投标文件中记录。文件制作机器码一致表明不同供应商使用了同一设备编制投标文件，文件创建标识码一致表明不同供应商的投标文件为同一份文件，IP 地址一致表明上传投标文件时使用了相同的网络。</w:t>
      </w:r>
    </w:p>
    <w:p>
      <w:pPr>
        <w:ind w:firstLine="420" w:firstLineChars="200"/>
        <w:rPr>
          <w:rFonts w:ascii="宋体" w:hAnsi="宋体"/>
          <w:color w:val="FF0000"/>
          <w:sz w:val="20"/>
          <w:szCs w:val="20"/>
        </w:rPr>
      </w:pP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六、</w:t>
      </w:r>
      <w:r>
        <w:rPr>
          <w:rFonts w:ascii="宋体" w:hAnsi="宋体"/>
          <w:color w:val="FF0000"/>
          <w:sz w:val="20"/>
          <w:szCs w:val="20"/>
        </w:rPr>
        <w:t>为避免出现不同供应商投标文件的文件制作机器码、文件创建标识码、IP 地址一致的异常情况，建议各供应商编制、上传投标文件时不要使用公共电脑设备或公共网络。</w:t>
      </w:r>
    </w:p>
    <w:p>
      <w:pPr>
        <w:ind w:firstLine="420" w:firstLineChars="200"/>
        <w:rPr>
          <w:rFonts w:ascii="宋体" w:hAnsi="宋体"/>
          <w:color w:val="FF0000"/>
          <w:sz w:val="20"/>
          <w:szCs w:val="20"/>
        </w:rPr>
      </w:pPr>
      <w:r>
        <w:rPr>
          <w:rFonts w:ascii="宋体" w:hAnsi="宋体" w:hint="eastAsia"/>
          <w:color w:val="FF0000"/>
          <w:sz w:val="20"/>
          <w:szCs w:val="20"/>
        </w:rPr>
        <w:t xml:space="preserve"> </w:t>
      </w:r>
      <w:r>
        <w:rPr>
          <w:rFonts w:ascii="宋体" w:hAnsi="宋体"/>
          <w:color w:val="FF0000"/>
          <w:sz w:val="20"/>
          <w:szCs w:val="20"/>
        </w:rPr>
        <w:t xml:space="preserve">   </w:t>
      </w:r>
      <w:r>
        <w:rPr>
          <w:rFonts w:ascii="宋体" w:hAnsi="宋体" w:hint="eastAsia"/>
          <w:color w:val="FF0000"/>
          <w:sz w:val="20"/>
          <w:szCs w:val="20"/>
        </w:rPr>
        <w:t>七、</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pStyle w:val="BodyText"/>
      </w:pPr>
    </w:p>
    <w:p>
      <w:pPr>
        <w:widowControl/>
        <w:jc w:val="left"/>
        <w:rPr>
          <w:rFonts w:ascii="宋体" w:eastAsia="黑体" w:hAnsi="宋体"/>
          <w:b/>
          <w:bCs/>
          <w:kern w:val="44"/>
          <w:sz w:val="28"/>
          <w:szCs w:val="44"/>
        </w:rPr>
      </w:pPr>
      <w:r>
        <w:br w:type="page"/>
      </w:r>
    </w:p>
    <w:p>
      <w:pPr>
        <w:pStyle w:val="Heading1"/>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firstLine="630" w:leftChars="300" w:firstLineChars="300"/>
        <w:outlineLvl w:val="0"/>
        <w:rPr>
          <w:rFonts w:ascii="宋体" w:hAnsi="宋体"/>
          <w:szCs w:val="21"/>
        </w:rPr>
      </w:pPr>
      <w:r>
        <w:rPr>
          <w:rFonts w:ascii="宋体" w:hAnsi="宋体" w:hint="eastAsia"/>
          <w:szCs w:val="21"/>
        </w:rPr>
        <w:t>第一章  招标公告</w:t>
      </w:r>
    </w:p>
    <w:p>
      <w:pPr>
        <w:ind w:left="630" w:firstLine="630" w:leftChars="300" w:firstLineChars="300"/>
        <w:outlineLvl w:val="0"/>
        <w:rPr>
          <w:rFonts w:ascii="宋体" w:hAnsi="宋体"/>
          <w:szCs w:val="21"/>
        </w:rPr>
      </w:pPr>
      <w:r>
        <w:rPr>
          <w:rFonts w:ascii="宋体" w:hAnsi="宋体" w:hint="eastAsia"/>
          <w:szCs w:val="21"/>
        </w:rPr>
        <w:t xml:space="preserve">第二章  </w:t>
      </w:r>
      <w:bookmarkStart w:id="6" w:name="_Hlk71994379"/>
      <w:r>
        <w:rPr>
          <w:rFonts w:ascii="宋体" w:hAnsi="宋体" w:hint="eastAsia"/>
          <w:szCs w:val="21"/>
        </w:rPr>
        <w:t>对通用条款的补充内容及其他关键信息</w:t>
      </w:r>
      <w:bookmarkEnd w:id="6"/>
    </w:p>
    <w:p>
      <w:pPr>
        <w:ind w:left="630" w:firstLine="630" w:leftChars="300" w:firstLineChars="300"/>
        <w:outlineLvl w:val="0"/>
        <w:rPr>
          <w:rFonts w:ascii="宋体" w:hAnsi="宋体"/>
          <w:szCs w:val="21"/>
        </w:rPr>
      </w:pPr>
      <w:r>
        <w:rPr>
          <w:rFonts w:ascii="宋体" w:hAnsi="宋体" w:hint="eastAsia"/>
          <w:szCs w:val="21"/>
        </w:rPr>
        <w:t>第三章 用户需求书</w:t>
      </w:r>
    </w:p>
    <w:p>
      <w:pPr>
        <w:ind w:left="630" w:firstLine="630" w:leftChars="300" w:firstLineChars="300"/>
        <w:outlineLvl w:val="0"/>
        <w:rPr>
          <w:rFonts w:ascii="宋体" w:hAnsi="宋体"/>
          <w:szCs w:val="21"/>
        </w:rPr>
      </w:pPr>
      <w:r>
        <w:rPr>
          <w:rFonts w:ascii="宋体" w:hAnsi="宋体" w:hint="eastAsia"/>
          <w:szCs w:val="21"/>
        </w:rPr>
        <w:t>第四章 投标文件组成要求及格式</w:t>
      </w:r>
    </w:p>
    <w:p>
      <w:pPr>
        <w:ind w:left="630" w:firstLine="630" w:leftChars="300" w:firstLineChars="300"/>
        <w:outlineLvl w:val="0"/>
        <w:rPr>
          <w:rFonts w:ascii="宋体" w:hAnsi="宋体"/>
          <w:szCs w:val="21"/>
        </w:rPr>
      </w:pPr>
      <w:r>
        <w:rPr>
          <w:rFonts w:ascii="宋体" w:hAnsi="宋体" w:hint="eastAsia"/>
          <w:szCs w:val="21"/>
        </w:rPr>
        <w:t>第五章  合同条款及格式</w:t>
      </w:r>
    </w:p>
    <w:p>
      <w:pPr>
        <w:rPr>
          <w:b/>
          <w:sz w:val="24"/>
        </w:rPr>
      </w:pPr>
    </w:p>
    <w:p>
      <w:pPr>
        <w:outlineLvl w:val="0"/>
        <w:rPr>
          <w:b/>
          <w:sz w:val="24"/>
        </w:rPr>
      </w:pPr>
      <w:r>
        <w:rPr>
          <w:rFonts w:hint="eastAsia"/>
          <w:b/>
          <w:sz w:val="24"/>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widowControl/>
        <w:jc w:val="left"/>
        <w:rPr>
          <w:rFonts w:ascii="宋体" w:eastAsia="黑体" w:hAnsi="宋体"/>
          <w:b/>
          <w:bCs/>
          <w:kern w:val="44"/>
          <w:sz w:val="28"/>
          <w:szCs w:val="44"/>
        </w:rPr>
      </w:pPr>
      <w:bookmarkEnd w:id="5"/>
      <w:bookmarkStart w:id="7" w:name="bt其他资料由投标人自定"/>
      <w:bookmarkEnd w:id="7"/>
      <w:bookmarkStart w:id="8" w:name="bt开标一览表"/>
      <w:bookmarkEnd w:id="8"/>
      <w:bookmarkStart w:id="9" w:name="bt投标函"/>
      <w:bookmarkEnd w:id="9"/>
      <w:bookmarkStart w:id="10" w:name="bt其他资料2"/>
      <w:bookmarkEnd w:id="10"/>
      <w:bookmarkStart w:id="11" w:name="合同格式"/>
      <w:bookmarkEnd w:id="11"/>
      <w:bookmarkStart w:id="12" w:name="bt投标报价汇总表"/>
      <w:bookmarkEnd w:id="12"/>
      <w:bookmarkStart w:id="13" w:name="bt投标人情况介绍"/>
      <w:bookmarkEnd w:id="13"/>
      <w:bookmarkStart w:id="14" w:name="bt本工程承诺书"/>
      <w:bookmarkEnd w:id="14"/>
      <w:bookmarkStart w:id="15" w:name="bt技术标投标文件格式"/>
      <w:bookmarkEnd w:id="15"/>
      <w:bookmarkStart w:id="16" w:name="bt合同条款"/>
      <w:bookmarkEnd w:id="16"/>
      <w:bookmarkStart w:id="17" w:name="bt说明"/>
      <w:bookmarkEnd w:id="17"/>
      <w:bookmarkStart w:id="18" w:name="bt合同格式"/>
      <w:bookmarkEnd w:id="18"/>
      <w:bookmarkStart w:id="19" w:name="bt投标文件签署授权委托书"/>
      <w:bookmarkEnd w:id="19"/>
      <w:bookmarkStart w:id="20" w:name="bt投标人须知"/>
      <w:bookmarkEnd w:id="20"/>
      <w:bookmarkStart w:id="21" w:name="bt合同条款及格式"/>
      <w:bookmarkEnd w:id="21"/>
      <w:bookmarkStart w:id="22" w:name="bt商务标投标文件格式"/>
      <w:bookmarkEnd w:id="22"/>
      <w:bookmarkStart w:id="23" w:name="bt项目管理班子配备情况"/>
      <w:bookmarkEnd w:id="23"/>
      <w:r>
        <w:br w:type="page"/>
      </w:r>
    </w:p>
    <w:p>
      <w:pPr>
        <w:pStyle w:val="Heading1"/>
        <w:rPr>
          <w:color w:val="FF0000"/>
          <w:sz w:val="24"/>
        </w:rPr>
      </w:pPr>
      <w:r>
        <w:rPr>
          <w:rFonts w:hint="eastAsia"/>
        </w:rPr>
        <w:t>第一册  专用条款</w:t>
      </w:r>
    </w:p>
    <w:p>
      <w:pPr>
        <w:pStyle w:val="Heading2"/>
        <w:rPr>
          <w:sz w:val="28"/>
          <w:szCs w:val="28"/>
        </w:rPr>
      </w:pPr>
      <w:r>
        <w:rPr>
          <w:rFonts w:hint="eastAsia"/>
          <w:sz w:val="28"/>
          <w:szCs w:val="28"/>
        </w:rPr>
        <w:t>第一章  招标公告</w:t>
      </w:r>
    </w:p>
    <w:p>
      <w:pPr>
        <w:spacing w:line="360" w:lineRule="auto"/>
        <w:rPr>
          <w:rFonts w:ascii="宋体" w:hAnsi="宋体" w:cs="宋体"/>
          <w:kern w:val="0"/>
          <w:sz w:val="18"/>
          <w:szCs w:val="18"/>
        </w:rPr>
      </w:pPr>
      <w:r>
        <w:rPr>
          <w:rFonts w:ascii="宋体" w:hAnsi="宋体" w:cs="宋体" w:hint="eastAsia"/>
          <w:b/>
          <w:bCs/>
          <w:kern w:val="0"/>
          <w:szCs w:val="21"/>
        </w:rPr>
        <w:t>申请人的资格要求</w:t>
      </w:r>
    </w:p>
    <w:p>
      <w:pPr>
        <w:ind w:firstLine="630" w:firstLineChars="300"/>
      </w:pPr>
      <w:r>
        <w:rPr>
          <w:rFonts w:hint="eastAsia"/>
        </w:rPr>
        <w:t>1</w:t>
      </w:r>
      <w:r>
        <w:t>.</w:t>
      </w:r>
      <w:bookmarkStart w:id="24" w:name="_Hlk72162904"/>
      <w:r>
        <w:rPr>
          <w:rFonts w:hint="eastAsia"/>
        </w:rPr>
        <w:t>具有独立法人资格或是具有独立承担民事责任能力的其它组织（提供营业执照或事业单位法人证书等证明资料扫描件，原件备查）；</w:t>
      </w:r>
      <w:bookmarkEnd w:id="24"/>
    </w:p>
    <w:p>
      <w:pPr>
        <w:ind w:firstLine="630" w:firstLineChars="300"/>
        <w:rPr>
          <w:color w:val="FF0000"/>
        </w:rPr>
      </w:pPr>
      <w:r>
        <w:rPr>
          <w:rFonts w:hint="eastAsia"/>
          <w:color w:val="FF0000"/>
        </w:rPr>
        <w:t>2</w:t>
      </w:r>
      <w:r>
        <w:rPr>
          <w:color w:val="FF0000"/>
        </w:rPr>
        <w:t>.</w:t>
      </w:r>
      <w:r>
        <w:rPr>
          <w:rFonts w:hint="eastAsia"/>
          <w:color w:val="FF0000"/>
        </w:rPr>
        <w:t>本项目不接受联合体投标（由供应商在《政府采购投标及履约承诺函》中作出声明），是否接受投标人选用进口产品参与投标详见招标文件“货物需求明细”表；</w:t>
      </w:r>
    </w:p>
    <w:p>
      <w:pPr>
        <w:ind w:firstLine="630" w:firstLineChars="300"/>
      </w:pPr>
      <w:r>
        <w:rPr>
          <w:rFonts w:hint="eastAsia"/>
        </w:rPr>
        <w:t>3</w:t>
      </w:r>
      <w:r>
        <w:t>.</w:t>
      </w:r>
      <w:r>
        <w:rPr>
          <w:rFonts w:hint="eastAsia"/>
        </w:rPr>
        <w:t>参与本项目政府采购活动时不存在被有关部门禁止参与政府采购活动且在有效期内的情况（由供应商在《政府采购投标及履约承诺函》中作出声明）；</w:t>
      </w:r>
    </w:p>
    <w:p>
      <w:pPr>
        <w:ind w:firstLine="630" w:firstLineChars="300"/>
      </w:pPr>
      <w:r>
        <w:rPr>
          <w:rFonts w:hint="eastAsia"/>
        </w:rPr>
        <w:t>4</w:t>
      </w:r>
      <w:r>
        <w:t>.</w:t>
      </w:r>
      <w:r>
        <w:rPr>
          <w:rFonts w:hint="eastAsia"/>
        </w:rPr>
        <w:t>具备《中华人民共和国政府采购法》第二十二条的条件（由供应商在《政府采购投标及履约承诺函》中作出声明）；</w:t>
      </w:r>
    </w:p>
    <w:p>
      <w:pPr>
        <w:ind w:firstLine="630" w:firstLineChars="300"/>
      </w:pPr>
      <w:r>
        <w:rPr>
          <w:rFonts w:hint="eastAsia"/>
        </w:rPr>
        <w:t>5</w:t>
      </w:r>
      <w:r>
        <w:t>.</w:t>
      </w:r>
      <w:r>
        <w:rPr>
          <w:rFonts w:hint="eastAsia"/>
        </w:rPr>
        <w:t>未被列入失信被执行人、重大税收违法案件当事人名单、政府采购严重违法失信行为记录名单（由供应商在《政府采购投标及履约承诺函》中作出声明）。</w:t>
      </w:r>
    </w:p>
    <w:p>
      <w:pPr>
        <w:ind w:firstLine="630" w:firstLineChars="300"/>
      </w:pPr>
      <w:r>
        <w:rPr>
          <w:rFonts w:hint="eastAsia"/>
        </w:rPr>
        <w:t>6.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pPr>
        <w:ind w:firstLine="630" w:firstLineChars="300"/>
        <w:rPr>
          <w:rFonts w:ascii="宋体" w:hAnsi="宋体" w:cs="宋体"/>
          <w:kern w:val="0"/>
          <w:szCs w:val="21"/>
        </w:rPr>
      </w:pPr>
      <w:r>
        <w:rPr>
          <w:rFonts w:ascii="宋体" w:hAnsi="宋体" w:cs="宋体" w:hint="eastAsia"/>
          <w:kern w:val="0"/>
          <w:szCs w:val="21"/>
        </w:rPr>
        <w:t>注：（1）“信用中国”、“中国政府采购网”、“深圳信用网”以及“深圳市政府采购监管网”为供应商信用信息的查询渠道，相关信息以开标当日的查询结果为准；</w:t>
      </w:r>
    </w:p>
    <w:p>
      <w:pPr>
        <w:ind w:firstLine="420" w:firstLineChars="200"/>
        <w:rPr>
          <w:rFonts w:ascii="宋体" w:hAnsi="宋体" w:cs="宋体"/>
          <w:kern w:val="0"/>
          <w:szCs w:val="21"/>
        </w:rPr>
      </w:pPr>
      <w:r>
        <w:rPr>
          <w:rFonts w:ascii="宋体" w:hAnsi="宋体" w:hint="eastAsia"/>
        </w:rPr>
        <w:t>（2）供应商投标（上传投标文件）必须先行办理注册手续，具体请按照本公告“六、其他补充事宜</w:t>
      </w:r>
      <w:r>
        <w:rPr>
          <w:rFonts w:ascii="宋体" w:hAnsi="宋体"/>
        </w:rPr>
        <w:t>”</w:t>
      </w:r>
      <w:r>
        <w:rPr>
          <w:rFonts w:ascii="宋体" w:hAnsi="宋体" w:hint="eastAsia"/>
        </w:rPr>
        <w:t>相关内容指引办理。</w:t>
      </w:r>
    </w:p>
    <w:p>
      <w:pPr>
        <w:pStyle w:val="Heading2"/>
        <w:jc w:val="left"/>
        <w:rPr>
          <w:sz w:val="22"/>
          <w:szCs w:val="18"/>
        </w:rPr>
      </w:pPr>
      <w:r>
        <w:rPr>
          <w:rFonts w:hint="eastAsia"/>
          <w:sz w:val="22"/>
          <w:szCs w:val="18"/>
        </w:rPr>
        <w:t>完整公告内容详见：深圳市政府采购监管网（中国政府采购网深圳分网）（http://zfcg.sz.gov.cn/）、</w:t>
      </w:r>
      <w:r>
        <w:rPr>
          <w:rFonts w:hint="eastAsia"/>
          <w:szCs w:val="24"/>
        </w:rPr>
        <w:t>深圳政府采购智慧平台（http://zfcg.szggzy.com:8081）</w:t>
      </w:r>
    </w:p>
    <w:p>
      <w:pPr>
        <w:widowControl/>
        <w:jc w:val="left"/>
        <w:rPr>
          <w:rFonts w:ascii="宋体" w:hAnsi="宋体"/>
          <w:b/>
          <w:bCs/>
          <w:kern w:val="0"/>
          <w:sz w:val="28"/>
          <w:szCs w:val="28"/>
        </w:rPr>
      </w:pPr>
      <w:r>
        <w:rPr>
          <w:sz w:val="28"/>
          <w:szCs w:val="28"/>
        </w:rPr>
        <w:br w:type="page"/>
      </w:r>
    </w:p>
    <w:p>
      <w:pPr>
        <w:pStyle w:val="Heading2"/>
        <w:rPr>
          <w:sz w:val="28"/>
          <w:szCs w:val="28"/>
        </w:rPr>
      </w:pPr>
      <w:r>
        <w:rPr>
          <w:rFonts w:hint="eastAsia"/>
          <w:sz w:val="28"/>
          <w:szCs w:val="28"/>
        </w:rPr>
        <w:t xml:space="preserve">第二章 </w:t>
      </w:r>
      <w:bookmarkStart w:id="25" w:name="_Hlk71926094"/>
      <w:r>
        <w:rPr>
          <w:rFonts w:hint="eastAsia"/>
          <w:sz w:val="28"/>
          <w:szCs w:val="28"/>
        </w:rPr>
        <w:t>对通用条款的补充内容及其他关键信息</w:t>
      </w:r>
      <w:bookmarkEnd w:id="25"/>
    </w:p>
    <w:p>
      <w:pPr>
        <w:pStyle w:val="Heading2"/>
        <w:spacing w:before="120" w:beforeLines="50" w:after="120" w:afterLines="50"/>
        <w:rPr>
          <w:szCs w:val="24"/>
        </w:rPr>
      </w:pPr>
      <w:bookmarkStart w:id="26" w:name="_Toc100052364"/>
      <w:bookmarkStart w:id="27" w:name="_Toc73521547"/>
      <w:bookmarkStart w:id="28" w:name="_Toc73518117"/>
      <w:bookmarkStart w:id="29" w:name="_Toc73517639"/>
      <w:bookmarkStart w:id="30" w:name="_Toc73521635"/>
      <w:bookmarkStart w:id="31" w:name="_Toc101074876"/>
      <w:bookmarkStart w:id="32" w:name="_Toc60560625"/>
      <w:bookmarkStart w:id="33" w:name="_Toc60631620"/>
      <w:r>
        <w:rPr>
          <w:rFonts w:hint="eastAsia"/>
          <w:szCs w:val="24"/>
        </w:rPr>
        <w:t>一、对通用条款的补充内容</w:t>
      </w:r>
    </w:p>
    <w:tbl>
      <w:tblPr>
        <w:tblStyle w:val="TableNormal"/>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78"/>
        <w:gridCol w:w="2409"/>
        <w:gridCol w:w="4980"/>
      </w:tblGrid>
      <w:tr>
        <w:tblPrEx>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b/>
                <w:bCs/>
              </w:rPr>
            </w:pPr>
            <w:bookmarkEnd w:id="26"/>
            <w:bookmarkEnd w:id="27"/>
            <w:bookmarkEnd w:id="28"/>
            <w:bookmarkEnd w:id="29"/>
            <w:bookmarkEnd w:id="30"/>
            <w:bookmarkEnd w:id="31"/>
            <w:bookmarkEnd w:id="32"/>
            <w:bookmarkEnd w:id="33"/>
            <w:bookmarkStart w:id="34" w:name="_Hlk72218097"/>
            <w:r>
              <w:rPr>
                <w:rFonts w:ascii="宋体" w:hAnsi="宋体" w:hint="eastAsia"/>
                <w:b/>
                <w:bCs/>
              </w:rPr>
              <w:t>通用条款序号</w:t>
            </w:r>
          </w:p>
        </w:tc>
        <w:tc>
          <w:tcPr>
            <w:tcW w:w="2409" w:type="dxa"/>
            <w:vAlign w:val="center"/>
          </w:tcPr>
          <w:p>
            <w:pPr>
              <w:jc w:val="center"/>
              <w:rPr>
                <w:rFonts w:ascii="宋体" w:hAnsi="宋体"/>
                <w:b/>
                <w:bCs/>
              </w:rPr>
            </w:pPr>
            <w:r>
              <w:rPr>
                <w:rFonts w:ascii="宋体" w:hAnsi="宋体" w:hint="eastAsia"/>
                <w:b/>
                <w:bCs/>
              </w:rPr>
              <w:t>涉及事项</w:t>
            </w:r>
          </w:p>
        </w:tc>
        <w:tc>
          <w:tcPr>
            <w:tcW w:w="4980" w:type="dxa"/>
            <w:vAlign w:val="center"/>
          </w:tcPr>
          <w:p>
            <w:pPr>
              <w:jc w:val="center"/>
              <w:rPr>
                <w:rFonts w:ascii="宋体" w:hAnsi="宋体"/>
                <w:b/>
                <w:bCs/>
              </w:rPr>
            </w:pPr>
            <w:r>
              <w:rPr>
                <w:rFonts w:ascii="宋体" w:hAnsi="宋体" w:hint="eastAsia"/>
                <w:b/>
                <w:bCs/>
              </w:rPr>
              <w:t>具 体 补 充 内 容</w:t>
            </w:r>
          </w:p>
        </w:tc>
      </w:tr>
      <w:tr>
        <w:tblPrEx>
          <w:tblW w:w="8367" w:type="dxa"/>
          <w:jc w:val="center"/>
          <w:tblLayout w:type="fixed"/>
          <w:tblCellMar>
            <w:top w:w="0" w:type="dxa"/>
            <w:left w:w="108" w:type="dxa"/>
            <w:bottom w:w="0" w:type="dxa"/>
            <w:right w:w="108" w:type="dxa"/>
          </w:tblCellMar>
        </w:tblPrEx>
        <w:trPr>
          <w:cantSplit/>
          <w:trHeight w:val="224"/>
          <w:jc w:val="center"/>
        </w:trPr>
        <w:tc>
          <w:tcPr>
            <w:tcW w:w="978" w:type="dxa"/>
            <w:vAlign w:val="center"/>
          </w:tcPr>
          <w:p>
            <w:pPr>
              <w:jc w:val="center"/>
              <w:rPr>
                <w:rFonts w:ascii="宋体" w:hAnsi="宋体"/>
              </w:rPr>
            </w:pPr>
            <w:r>
              <w:rPr>
                <w:rFonts w:ascii="宋体" w:hAnsi="宋体" w:hint="eastAsia"/>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rPr>
              <w:t>清华大学深圳国际研究生院</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.2</w:t>
            </w:r>
          </w:p>
        </w:tc>
        <w:tc>
          <w:tcPr>
            <w:tcW w:w="2409" w:type="dxa"/>
            <w:vAlign w:val="center"/>
          </w:tcPr>
          <w:p>
            <w:pPr>
              <w:jc w:val="center"/>
              <w:rPr>
                <w:rFonts w:ascii="宋体" w:hAnsi="宋体"/>
              </w:rPr>
            </w:pPr>
            <w:r>
              <w:rPr>
                <w:rFonts w:ascii="宋体" w:hAnsi="宋体" w:hint="eastAsia"/>
              </w:rPr>
              <w:t>政府集中采购机构</w:t>
            </w:r>
          </w:p>
        </w:tc>
        <w:tc>
          <w:tcPr>
            <w:tcW w:w="4980" w:type="dxa"/>
            <w:vAlign w:val="center"/>
          </w:tcPr>
          <w:p>
            <w:pPr>
              <w:jc w:val="center"/>
              <w:rPr>
                <w:rFonts w:ascii="宋体" w:hAnsi="宋体"/>
              </w:rPr>
            </w:pPr>
            <w:r>
              <w:rPr>
                <w:rFonts w:ascii="宋体" w:hAnsi="宋体" w:hint="eastAsia"/>
              </w:rPr>
              <w:t>深圳公共资源交易中心</w:t>
            </w:r>
          </w:p>
          <w:p>
            <w:pPr>
              <w:jc w:val="center"/>
              <w:rPr>
                <w:rFonts w:ascii="宋体" w:hAnsi="宋体"/>
              </w:rPr>
            </w:pPr>
            <w:r>
              <w:rPr>
                <w:rFonts w:ascii="宋体" w:hAnsi="宋体" w:hint="eastAsia"/>
              </w:rPr>
              <w:t>（深圳交易集团有限公司政府采购业务分公司）</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9</w:t>
            </w:r>
          </w:p>
        </w:tc>
        <w:tc>
          <w:tcPr>
            <w:tcW w:w="2409" w:type="dxa"/>
            <w:vAlign w:val="center"/>
          </w:tcPr>
          <w:p>
            <w:pPr>
              <w:jc w:val="center"/>
              <w:rPr>
                <w:rFonts w:ascii="宋体" w:hAnsi="宋体"/>
              </w:rPr>
            </w:pPr>
            <w:r>
              <w:rPr>
                <w:rFonts w:ascii="宋体" w:hAnsi="宋体" w:hint="eastAsia"/>
              </w:rPr>
              <w:t>踏勘现场</w:t>
            </w:r>
          </w:p>
        </w:tc>
        <w:tc>
          <w:tcPr>
            <w:tcW w:w="4980" w:type="dxa"/>
            <w:vAlign w:val="center"/>
          </w:tcPr>
          <w:p>
            <w:pPr>
              <w:jc w:val="center"/>
              <w:rPr>
                <w:rFonts w:ascii="宋体" w:hAnsi="宋体"/>
                <w:color w:val="FF0000"/>
              </w:rPr>
            </w:pPr>
            <w:r>
              <w:rPr>
                <w:rFonts w:ascii="宋体" w:hAnsi="宋体" w:hint="eastAsia"/>
                <w:color w:val="FF0000"/>
              </w:rPr>
              <w:t>组织，具体见其他关键信息章节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0</w:t>
            </w:r>
          </w:p>
        </w:tc>
        <w:tc>
          <w:tcPr>
            <w:tcW w:w="2409" w:type="dxa"/>
            <w:vAlign w:val="center"/>
          </w:tcPr>
          <w:p>
            <w:pPr>
              <w:jc w:val="center"/>
              <w:rPr>
                <w:rFonts w:ascii="宋体" w:hAnsi="宋体"/>
              </w:rPr>
            </w:pPr>
            <w:r>
              <w:rPr>
                <w:rFonts w:ascii="宋体" w:hAnsi="宋体" w:hint="eastAsia"/>
              </w:rPr>
              <w:t>标前会议</w:t>
            </w:r>
          </w:p>
        </w:tc>
        <w:tc>
          <w:tcPr>
            <w:tcW w:w="4980" w:type="dxa"/>
            <w:vAlign w:val="center"/>
          </w:tcPr>
          <w:p>
            <w:pPr>
              <w:jc w:val="center"/>
              <w:rPr>
                <w:rFonts w:ascii="宋体" w:hAnsi="宋体"/>
              </w:rPr>
            </w:pPr>
            <w:r>
              <w:rPr>
                <w:rFonts w:ascii="宋体" w:hAnsi="宋体" w:hint="eastAsia"/>
              </w:rPr>
              <w:t>不组织</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409" w:type="dxa"/>
            <w:vAlign w:val="center"/>
          </w:tcPr>
          <w:p>
            <w:pPr>
              <w:jc w:val="center"/>
              <w:rPr>
                <w:rFonts w:ascii="宋体" w:hAnsi="宋体"/>
              </w:rPr>
            </w:pPr>
            <w:r>
              <w:rPr>
                <w:rFonts w:ascii="宋体" w:hAnsi="宋体" w:hint="eastAsia"/>
              </w:rPr>
              <w:t>招标文件的澄清和修改</w:t>
            </w:r>
          </w:p>
        </w:tc>
        <w:tc>
          <w:tcPr>
            <w:tcW w:w="4980" w:type="dxa"/>
            <w:vAlign w:val="center"/>
          </w:tcPr>
          <w:p>
            <w:pPr>
              <w:jc w:val="left"/>
              <w:rPr>
                <w:rFonts w:ascii="宋体" w:hAnsi="宋体"/>
              </w:rPr>
            </w:pPr>
            <w:r>
              <w:rPr>
                <w:rFonts w:ascii="宋体" w:hAnsi="宋体" w:hint="eastAsia"/>
              </w:rPr>
              <w:t>投标截止日三日前，投标人有义务在招标期间在政府集中采购机构网站浏览与本项目有关的澄清和修改信息</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0</w:t>
            </w:r>
          </w:p>
        </w:tc>
        <w:tc>
          <w:tcPr>
            <w:tcW w:w="2409" w:type="dxa"/>
            <w:vAlign w:val="center"/>
          </w:tcPr>
          <w:p>
            <w:pPr>
              <w:jc w:val="center"/>
              <w:rPr>
                <w:rFonts w:ascii="宋体" w:hAnsi="宋体"/>
              </w:rPr>
            </w:pPr>
            <w:r>
              <w:rPr>
                <w:rFonts w:ascii="宋体" w:hAnsi="宋体" w:hint="eastAsia"/>
              </w:rPr>
              <w:t>投标有效期</w:t>
            </w:r>
          </w:p>
        </w:tc>
        <w:tc>
          <w:tcPr>
            <w:tcW w:w="4980" w:type="dxa"/>
            <w:vAlign w:val="center"/>
          </w:tcPr>
          <w:p>
            <w:pPr>
              <w:jc w:val="center"/>
              <w:rPr>
                <w:rFonts w:ascii="宋体" w:hAnsi="宋体"/>
              </w:rPr>
            </w:pPr>
            <w:r>
              <w:rPr>
                <w:rFonts w:ascii="宋体" w:hAnsi="宋体" w:hint="eastAsia"/>
              </w:rPr>
              <w:t>1</w:t>
            </w:r>
            <w:r>
              <w:rPr>
                <w:rFonts w:ascii="宋体" w:hAnsi="宋体"/>
              </w:rPr>
              <w:t>20</w:t>
            </w:r>
            <w:r>
              <w:rPr>
                <w:rFonts w:ascii="宋体" w:hAnsi="宋体" w:hint="eastAsia"/>
              </w:rPr>
              <w:t>个日历日</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2</w:t>
            </w:r>
          </w:p>
        </w:tc>
        <w:tc>
          <w:tcPr>
            <w:tcW w:w="2409" w:type="dxa"/>
            <w:vAlign w:val="center"/>
          </w:tcPr>
          <w:p>
            <w:pPr>
              <w:jc w:val="center"/>
              <w:rPr>
                <w:rFonts w:ascii="宋体" w:hAnsi="宋体"/>
              </w:rPr>
            </w:pPr>
            <w:r>
              <w:rPr>
                <w:rFonts w:ascii="宋体" w:hAnsi="宋体" w:hint="eastAsia"/>
              </w:rPr>
              <w:t>投标人的替代方案</w:t>
            </w:r>
          </w:p>
        </w:tc>
        <w:tc>
          <w:tcPr>
            <w:tcW w:w="4980" w:type="dxa"/>
            <w:vAlign w:val="center"/>
          </w:tcPr>
          <w:p>
            <w:pPr>
              <w:jc w:val="center"/>
              <w:rPr>
                <w:rFonts w:ascii="宋体" w:hAnsi="宋体"/>
              </w:rPr>
            </w:pPr>
            <w:r>
              <w:rPr>
                <w:rFonts w:ascii="宋体" w:hAnsi="宋体" w:hint="eastAsia"/>
              </w:rPr>
              <w:t>不接受</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5</w:t>
            </w:r>
          </w:p>
        </w:tc>
        <w:tc>
          <w:tcPr>
            <w:tcW w:w="2409" w:type="dxa"/>
            <w:vAlign w:val="center"/>
          </w:tcPr>
          <w:p>
            <w:pPr>
              <w:jc w:val="center"/>
              <w:rPr>
                <w:rFonts w:ascii="宋体" w:hAnsi="宋体"/>
              </w:rPr>
            </w:pPr>
            <w:r>
              <w:rPr>
                <w:rFonts w:ascii="宋体" w:hAnsi="宋体" w:hint="eastAsia"/>
              </w:rPr>
              <w:t>投标文件的大小</w:t>
            </w:r>
          </w:p>
        </w:tc>
        <w:tc>
          <w:tcPr>
            <w:tcW w:w="4980" w:type="dxa"/>
            <w:vAlign w:val="center"/>
          </w:tcPr>
          <w:p>
            <w:pPr>
              <w:jc w:val="center"/>
              <w:rPr>
                <w:rFonts w:ascii="宋体" w:hAnsi="宋体"/>
              </w:rPr>
            </w:pPr>
            <w:r>
              <w:rPr>
                <w:rFonts w:ascii="宋体" w:hAnsi="宋体" w:hint="eastAsia"/>
              </w:rPr>
              <w:t>投标文件大小不得超过100MB</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2</w:t>
            </w:r>
            <w:r>
              <w:rPr>
                <w:rFonts w:ascii="宋体" w:hAnsi="宋体"/>
              </w:rPr>
              <w:t>6</w:t>
            </w:r>
          </w:p>
        </w:tc>
        <w:tc>
          <w:tcPr>
            <w:tcW w:w="2409" w:type="dxa"/>
            <w:vAlign w:val="center"/>
          </w:tcPr>
          <w:p>
            <w:pPr>
              <w:jc w:val="center"/>
              <w:rPr>
                <w:rFonts w:ascii="宋体" w:hAnsi="宋体"/>
              </w:rPr>
            </w:pPr>
            <w:bookmarkStart w:id="35" w:name="_Hlk71664860"/>
            <w:r>
              <w:rPr>
                <w:rFonts w:ascii="宋体" w:hAnsi="宋体" w:hint="eastAsia"/>
              </w:rPr>
              <w:t>样品、演示、方案讲解</w:t>
            </w:r>
            <w:bookmarkEnd w:id="35"/>
          </w:p>
        </w:tc>
        <w:tc>
          <w:tcPr>
            <w:tcW w:w="4980" w:type="dxa"/>
            <w:vAlign w:val="center"/>
          </w:tcPr>
          <w:p>
            <w:pPr>
              <w:jc w:val="left"/>
              <w:rPr>
                <w:rFonts w:ascii="宋体" w:hAnsi="宋体"/>
              </w:rPr>
            </w:pPr>
            <w:r>
              <w:rPr>
                <w:rFonts w:ascii="宋体" w:hAnsi="宋体" w:hint="eastAsia"/>
              </w:rPr>
              <w:t>如有样品、演示、方案讲解，具体安排见第三章 用户需求书相关要求</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7</w:t>
            </w:r>
          </w:p>
        </w:tc>
        <w:tc>
          <w:tcPr>
            <w:tcW w:w="2409" w:type="dxa"/>
            <w:vAlign w:val="center"/>
          </w:tcPr>
          <w:p>
            <w:pPr>
              <w:jc w:val="center"/>
              <w:rPr>
                <w:rFonts w:ascii="宋体" w:hAnsi="宋体"/>
              </w:rPr>
            </w:pPr>
            <w:r>
              <w:rPr>
                <w:rFonts w:ascii="宋体" w:hAnsi="宋体" w:hint="eastAsia"/>
              </w:rPr>
              <w:t>评审方法</w:t>
            </w:r>
          </w:p>
        </w:tc>
        <w:tc>
          <w:tcPr>
            <w:tcW w:w="4980" w:type="dxa"/>
            <w:vAlign w:val="center"/>
          </w:tcPr>
          <w:p>
            <w:pPr>
              <w:jc w:val="left"/>
              <w:rPr>
                <w:rFonts w:ascii="宋体" w:hAnsi="宋体"/>
              </w:rPr>
            </w:pPr>
            <w:r>
              <w:rPr>
                <w:rFonts w:ascii="宋体" w:hAnsi="宋体" w:hint="eastAsia"/>
              </w:rPr>
              <w:t>综合评分法</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3</w:t>
            </w:r>
            <w:r>
              <w:rPr>
                <w:rFonts w:ascii="宋体" w:hAnsi="宋体"/>
              </w:rPr>
              <w:t>8</w:t>
            </w:r>
          </w:p>
        </w:tc>
        <w:tc>
          <w:tcPr>
            <w:tcW w:w="2409" w:type="dxa"/>
            <w:vAlign w:val="center"/>
          </w:tcPr>
          <w:p>
            <w:pPr>
              <w:jc w:val="center"/>
              <w:rPr>
                <w:rFonts w:ascii="宋体" w:hAnsi="宋体"/>
              </w:rPr>
            </w:pPr>
            <w:r>
              <w:rPr>
                <w:rFonts w:ascii="宋体" w:hAnsi="宋体" w:hint="eastAsia"/>
              </w:rPr>
              <w:t>定标方法</w:t>
            </w:r>
          </w:p>
        </w:tc>
        <w:tc>
          <w:tcPr>
            <w:tcW w:w="4980" w:type="dxa"/>
            <w:vAlign w:val="center"/>
          </w:tcPr>
          <w:p>
            <w:pPr>
              <w:jc w:val="left"/>
              <w:rPr>
                <w:rFonts w:ascii="宋体" w:hAnsi="宋体"/>
              </w:rPr>
            </w:pPr>
            <w:r>
              <w:rPr>
                <w:rFonts w:ascii="宋体" w:hAnsi="宋体" w:hint="eastAsia"/>
              </w:rPr>
              <w:t>非评定分离</w:t>
            </w:r>
          </w:p>
        </w:tc>
      </w:tr>
      <w:tr>
        <w:tblPrEx>
          <w:tblW w:w="8367" w:type="dxa"/>
          <w:jc w:val="center"/>
          <w:tblLayout w:type="fixed"/>
          <w:tblCellMar>
            <w:top w:w="0" w:type="dxa"/>
            <w:left w:w="108" w:type="dxa"/>
            <w:bottom w:w="0" w:type="dxa"/>
            <w:right w:w="108" w:type="dxa"/>
          </w:tblCellMar>
        </w:tblPrEx>
        <w:trPr>
          <w:cantSplit/>
          <w:trHeight w:val="20"/>
          <w:jc w:val="center"/>
        </w:trPr>
        <w:tc>
          <w:tcPr>
            <w:tcW w:w="978" w:type="dxa"/>
            <w:vAlign w:val="center"/>
          </w:tcPr>
          <w:p>
            <w:pPr>
              <w:jc w:val="center"/>
              <w:rPr>
                <w:rFonts w:ascii="宋体" w:hAnsi="宋体"/>
              </w:rPr>
            </w:pPr>
            <w:r>
              <w:rPr>
                <w:rFonts w:ascii="宋体" w:hAnsi="宋体" w:hint="eastAsia"/>
              </w:rPr>
              <w:t>4</w:t>
            </w:r>
            <w:r>
              <w:rPr>
                <w:rFonts w:ascii="宋体" w:hAnsi="宋体"/>
              </w:rPr>
              <w:t>6</w:t>
            </w:r>
          </w:p>
        </w:tc>
        <w:tc>
          <w:tcPr>
            <w:tcW w:w="2409" w:type="dxa"/>
            <w:vAlign w:val="center"/>
          </w:tcPr>
          <w:p>
            <w:pPr>
              <w:jc w:val="center"/>
              <w:rPr>
                <w:rFonts w:ascii="宋体" w:hAnsi="宋体"/>
              </w:rPr>
            </w:pPr>
            <w:r>
              <w:rPr>
                <w:rFonts w:ascii="宋体" w:hAnsi="宋体" w:hint="eastAsia"/>
              </w:rPr>
              <w:t>履约担保</w:t>
            </w:r>
          </w:p>
        </w:tc>
        <w:tc>
          <w:tcPr>
            <w:tcW w:w="4980" w:type="dxa"/>
            <w:vAlign w:val="center"/>
          </w:tcPr>
          <w:p>
            <w:pPr>
              <w:jc w:val="left"/>
              <w:rPr>
                <w:rFonts w:ascii="宋体" w:hAnsi="宋体"/>
              </w:rPr>
            </w:pPr>
            <w:r>
              <w:rPr>
                <w:rFonts w:ascii="宋体" w:hAnsi="宋体" w:hint="eastAsia"/>
              </w:rPr>
              <w:t>不需要</w:t>
            </w:r>
          </w:p>
        </w:tc>
      </w:tr>
    </w:tbl>
    <w:p>
      <w:pPr>
        <w:rPr>
          <w:b/>
        </w:rPr>
      </w:pPr>
      <w:r>
        <w:rPr>
          <w:rFonts w:hint="eastAsia"/>
          <w:szCs w:val="21"/>
        </w:rPr>
        <w:t>备注：本表是通用条款相关条款的补充和明确，如与通用条款内容相冲突的，以本表为准。</w:t>
      </w:r>
    </w:p>
    <w:p>
      <w:pPr>
        <w:pStyle w:val="Heading2"/>
        <w:spacing w:before="120" w:beforeLines="50" w:after="120" w:afterLines="50"/>
        <w:rPr>
          <w:szCs w:val="24"/>
        </w:rPr>
      </w:pPr>
      <w:bookmarkEnd w:id="34"/>
      <w:bookmarkStart w:id="36" w:name="_Hlk72218117"/>
      <w:r>
        <w:rPr>
          <w:rFonts w:hint="eastAsia"/>
          <w:szCs w:val="24"/>
        </w:rPr>
        <w:t>二、其他关键信息</w:t>
      </w:r>
    </w:p>
    <w:p>
      <w:pPr>
        <w:ind w:firstLine="420" w:firstLineChars="200"/>
        <w:rPr>
          <w:b/>
          <w:bCs/>
        </w:rPr>
      </w:pPr>
      <w:bookmarkStart w:id="37" w:name="_Hlk72579427"/>
      <w:r>
        <w:rPr>
          <w:rFonts w:hint="eastAsia"/>
          <w:b/>
          <w:bCs/>
        </w:rPr>
        <w:t>（一）评标定标信息</w:t>
      </w:r>
    </w:p>
    <w:p>
      <w:pPr>
        <w:jc w:val="center"/>
        <w:rPr>
          <w:b/>
        </w:rPr>
      </w:pPr>
    </w:p>
    <w:p>
      <w:pPr>
        <w:jc w:val="center"/>
      </w:pPr>
      <w:r>
        <w:rPr>
          <w:rFonts w:hint="eastAsia"/>
          <w:b/>
        </w:rPr>
        <w:t>非评定分离项目</w:t>
      </w:r>
    </w:p>
    <w:tbl>
      <w:tblPr>
        <w:tblStyle w:val="TableGrid"/>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pPr>
            <w:bookmarkStart w:id="38" w:name="_Hlk74239733"/>
            <w:r>
              <w:rPr>
                <w:rFonts w:hint="eastAsia"/>
              </w:rPr>
              <w:t>评标方法</w:t>
            </w:r>
          </w:p>
        </w:tc>
        <w:tc>
          <w:tcPr>
            <w:tcW w:w="4265" w:type="dxa"/>
          </w:tcPr>
          <w:p>
            <w:pPr>
              <w:jc w:val="center"/>
            </w:pPr>
            <w:r>
              <w:rPr>
                <w:rFonts w:hint="eastAsia"/>
              </w:rPr>
              <w:t>综合评分法</w:t>
            </w:r>
          </w:p>
        </w:tc>
      </w:tr>
      <w:tr>
        <w:tblPrEx>
          <w:tblW w:w="8529" w:type="dxa"/>
          <w:tblInd w:w="0" w:type="dxa"/>
          <w:tblLayout w:type="fixed"/>
          <w:tblCellMar>
            <w:top w:w="0" w:type="dxa"/>
            <w:left w:w="108" w:type="dxa"/>
            <w:bottom w:w="0" w:type="dxa"/>
            <w:right w:w="108" w:type="dxa"/>
          </w:tblCellMar>
        </w:tblPrEx>
        <w:tc>
          <w:tcPr>
            <w:tcW w:w="4264" w:type="dxa"/>
          </w:tcPr>
          <w:p>
            <w:pPr>
              <w:jc w:val="center"/>
            </w:pPr>
            <w:r>
              <w:rPr>
                <w:rFonts w:hint="eastAsia"/>
              </w:rPr>
              <w:t>候选中标供应商家数</w:t>
            </w:r>
          </w:p>
        </w:tc>
        <w:tc>
          <w:tcPr>
            <w:tcW w:w="4265" w:type="dxa"/>
          </w:tcPr>
          <w:p>
            <w:pPr>
              <w:jc w:val="center"/>
            </w:pPr>
            <w:r>
              <w:rPr>
                <w:rFonts w:hint="eastAsia"/>
              </w:rPr>
              <w:t>3</w:t>
            </w:r>
          </w:p>
        </w:tc>
      </w:tr>
      <w:tr>
        <w:tblPrEx>
          <w:tblW w:w="8529" w:type="dxa"/>
          <w:tblInd w:w="0" w:type="dxa"/>
          <w:tblLayout w:type="fixed"/>
          <w:tblCellMar>
            <w:top w:w="0" w:type="dxa"/>
            <w:left w:w="108" w:type="dxa"/>
            <w:bottom w:w="0" w:type="dxa"/>
            <w:right w:w="108" w:type="dxa"/>
          </w:tblCellMar>
        </w:tblPrEx>
        <w:tc>
          <w:tcPr>
            <w:tcW w:w="4264" w:type="dxa"/>
          </w:tcPr>
          <w:p>
            <w:pPr>
              <w:jc w:val="center"/>
            </w:pPr>
            <w:r>
              <w:rPr>
                <w:rFonts w:hint="eastAsia"/>
              </w:rPr>
              <w:t>中标供应商家数</w:t>
            </w:r>
          </w:p>
        </w:tc>
        <w:tc>
          <w:tcPr>
            <w:tcW w:w="4265" w:type="dxa"/>
          </w:tcPr>
          <w:p>
            <w:pPr>
              <w:jc w:val="center"/>
            </w:pPr>
            <w:r>
              <w:rPr>
                <w:rFonts w:hint="eastAsia"/>
              </w:rPr>
              <w:t>1</w:t>
            </w:r>
          </w:p>
        </w:tc>
      </w:tr>
    </w:tbl>
    <w:p>
      <w:pPr>
        <w:ind w:left="3240"/>
        <w:rPr>
          <w:b/>
        </w:rPr>
      </w:pPr>
      <w:bookmarkEnd w:id="38"/>
    </w:p>
    <w:p>
      <w:pPr>
        <w:pStyle w:val="NormalIndent"/>
        <w:spacing w:before="60" w:beforeLines="25" w:after="60" w:afterLines="25"/>
        <w:ind w:firstLine="393" w:firstLineChars="187"/>
        <w:rPr>
          <w:rFonts w:ascii="宋体" w:hAnsi="宋体"/>
          <w:b/>
          <w:color w:val="FF0000"/>
          <w:szCs w:val="21"/>
        </w:rPr>
      </w:pPr>
      <w:r>
        <w:rPr>
          <w:rFonts w:ascii="宋体" w:hAnsi="宋体"/>
          <w:b/>
          <w:color w:val="FF0000"/>
          <w:szCs w:val="21"/>
        </w:rPr>
        <w:t>2.</w:t>
      </w:r>
      <w:r>
        <w:rPr>
          <w:rFonts w:ascii="宋体" w:hAnsi="宋体" w:hint="eastAsia"/>
          <w:b/>
          <w:color w:val="FF0000"/>
          <w:szCs w:val="21"/>
        </w:rPr>
        <w:t>踏勘现场</w:t>
      </w:r>
    </w:p>
    <w:p>
      <w:pPr>
        <w:pStyle w:val="NormalIndent"/>
        <w:spacing w:before="60" w:beforeLines="25" w:after="60" w:afterLines="25"/>
        <w:ind w:firstLine="393" w:firstLineChars="187"/>
        <w:rPr>
          <w:rFonts w:ascii="宋体" w:hAnsi="宋体"/>
          <w:color w:val="FF0000"/>
          <w:szCs w:val="21"/>
        </w:rPr>
      </w:pPr>
      <w:r>
        <w:rPr>
          <w:rFonts w:ascii="宋体" w:hAnsi="宋体" w:hint="eastAsia"/>
          <w:color w:val="FF0000"/>
          <w:szCs w:val="21"/>
        </w:rPr>
        <w:t>（1）本项目安排踏勘现场，时间为</w:t>
      </w:r>
      <w:r>
        <w:rPr>
          <w:rFonts w:ascii="宋体" w:hAnsi="宋体" w:hint="eastAsia"/>
          <w:color w:val="FF0000"/>
          <w:szCs w:val="21"/>
          <w:lang w:val="en-US" w:eastAsia="zh-CN"/>
        </w:rPr>
        <w:t>2023</w:t>
      </w:r>
      <w:r>
        <w:rPr>
          <w:rFonts w:ascii="宋体" w:hAnsi="宋体" w:hint="eastAsia"/>
          <w:color w:val="FF0000"/>
          <w:szCs w:val="21"/>
        </w:rPr>
        <w:t>年</w:t>
      </w:r>
      <w:r>
        <w:rPr>
          <w:rFonts w:ascii="宋体" w:hAnsi="宋体" w:hint="eastAsia"/>
          <w:color w:val="FF0000"/>
          <w:szCs w:val="21"/>
          <w:lang w:val="en-US" w:eastAsia="zh-CN"/>
        </w:rPr>
        <w:t>8</w:t>
      </w:r>
      <w:r>
        <w:rPr>
          <w:rFonts w:ascii="宋体" w:hAnsi="宋体" w:hint="eastAsia"/>
          <w:color w:val="FF0000"/>
          <w:szCs w:val="21"/>
        </w:rPr>
        <w:t>月</w:t>
      </w:r>
      <w:r>
        <w:rPr>
          <w:rFonts w:ascii="宋体" w:hAnsi="宋体" w:hint="eastAsia"/>
          <w:color w:val="FF0000"/>
          <w:szCs w:val="21"/>
          <w:lang w:val="en-US" w:eastAsia="zh-CN"/>
        </w:rPr>
        <w:t>4</w:t>
      </w:r>
      <w:r>
        <w:rPr>
          <w:rFonts w:ascii="宋体" w:hAnsi="宋体" w:hint="eastAsia"/>
          <w:color w:val="FF0000"/>
          <w:szCs w:val="21"/>
        </w:rPr>
        <w:t>日（正常上班时间，工作日9：00-12：00，14：00-18：00），投标人代表携带授权委托书及身份证原件到深圳市南山区大学城清华大学校区国际一期C楼；联系人：王军，联系电话：18611286718；</w:t>
      </w:r>
    </w:p>
    <w:p>
      <w:pPr>
        <w:pStyle w:val="NormalIndent"/>
        <w:spacing w:before="60" w:beforeLines="25" w:after="60" w:afterLines="25"/>
        <w:ind w:firstLine="393" w:firstLineChars="187"/>
        <w:rPr>
          <w:rFonts w:ascii="宋体" w:eastAsia="宋体" w:hAnsi="宋体" w:hint="eastAsia"/>
          <w:b/>
          <w:bCs/>
          <w:color w:val="FF0000"/>
          <w:szCs w:val="21"/>
          <w:lang w:val="en-US" w:eastAsia="zh-CN"/>
        </w:rPr>
      </w:pPr>
      <w:r>
        <w:rPr>
          <w:rFonts w:ascii="宋体" w:hAnsi="宋体" w:hint="eastAsia"/>
          <w:color w:val="FF0000"/>
          <w:szCs w:val="21"/>
        </w:rPr>
        <w:t>（2）本项目定于</w:t>
      </w:r>
      <w:r>
        <w:rPr>
          <w:rFonts w:ascii="宋体" w:hAnsi="宋体" w:hint="eastAsia"/>
          <w:color w:val="FF0000"/>
          <w:szCs w:val="21"/>
          <w:lang w:val="en-US" w:eastAsia="zh-CN"/>
        </w:rPr>
        <w:t>2023</w:t>
      </w:r>
      <w:r>
        <w:rPr>
          <w:rFonts w:ascii="宋体" w:hAnsi="宋体" w:hint="eastAsia"/>
          <w:color w:val="FF0000"/>
          <w:szCs w:val="21"/>
        </w:rPr>
        <w:t>年</w:t>
      </w:r>
      <w:r>
        <w:rPr>
          <w:rFonts w:ascii="宋体" w:hAnsi="宋体" w:hint="eastAsia"/>
          <w:color w:val="FF0000"/>
          <w:szCs w:val="21"/>
          <w:lang w:val="en-US" w:eastAsia="zh-CN"/>
        </w:rPr>
        <w:t>8</w:t>
      </w:r>
      <w:r>
        <w:rPr>
          <w:rFonts w:ascii="宋体" w:hAnsi="宋体" w:hint="eastAsia"/>
          <w:color w:val="FF0000"/>
          <w:szCs w:val="21"/>
        </w:rPr>
        <w:t>月</w:t>
      </w:r>
      <w:r>
        <w:rPr>
          <w:rFonts w:ascii="宋体" w:hAnsi="宋体" w:hint="eastAsia"/>
          <w:color w:val="FF0000"/>
          <w:szCs w:val="21"/>
          <w:lang w:val="en-US" w:eastAsia="zh-CN"/>
        </w:rPr>
        <w:t>4</w:t>
      </w:r>
      <w:r>
        <w:rPr>
          <w:rFonts w:ascii="宋体" w:hAnsi="宋体" w:hint="eastAsia"/>
          <w:color w:val="FF0000"/>
          <w:szCs w:val="21"/>
        </w:rPr>
        <w:t>日上午09：30在深圳市南山区大学城清华大学校区国际一期C楼集中，统一组织踏勘现场，请各投标人准时参加（参与现场踏勘的投标人代表携带授权委托书及身份证原件），逾期不再单独安排；联系人：王军，联系电话：18611286718。</w:t>
      </w:r>
      <w:r>
        <w:rPr>
          <w:rFonts w:ascii="宋体" w:hAnsi="宋体" w:hint="eastAsia"/>
          <w:color w:val="FF0000"/>
          <w:szCs w:val="21"/>
        </w:rPr>
        <w:br/>
      </w:r>
      <w:r>
        <w:rPr>
          <w:rFonts w:ascii="宋体" w:hAnsi="宋体" w:hint="eastAsia"/>
          <w:color w:val="FF0000"/>
          <w:szCs w:val="21"/>
          <w:lang w:val="en-US" w:eastAsia="zh-CN"/>
        </w:rPr>
        <w:t xml:space="preserve">     </w:t>
      </w:r>
      <w:r>
        <w:rPr>
          <w:rFonts w:ascii="宋体" w:hAnsi="宋体" w:hint="eastAsia"/>
          <w:b/>
          <w:bCs/>
          <w:color w:val="FF0000"/>
          <w:szCs w:val="21"/>
          <w:lang w:val="en-US" w:eastAsia="zh-CN"/>
        </w:rPr>
        <w:t>备注：</w:t>
      </w:r>
      <w:r>
        <w:rPr>
          <w:rFonts w:ascii="宋体" w:hAnsi="宋体" w:hint="eastAsia"/>
          <w:b/>
          <w:bCs/>
          <w:color w:val="FF0000"/>
          <w:szCs w:val="21"/>
        </w:rPr>
        <w:t>投标人</w:t>
      </w:r>
      <w:r>
        <w:rPr>
          <w:rFonts w:ascii="宋体" w:hAnsi="宋体" w:hint="eastAsia"/>
          <w:b/>
          <w:bCs/>
          <w:color w:val="FF0000"/>
          <w:szCs w:val="21"/>
          <w:lang w:val="en-US" w:eastAsia="zh-CN"/>
        </w:rPr>
        <w:t>须</w:t>
      </w:r>
      <w:r>
        <w:rPr>
          <w:rFonts w:ascii="宋体" w:hAnsi="宋体" w:hint="eastAsia"/>
          <w:b/>
          <w:bCs/>
          <w:color w:val="FF0000"/>
          <w:szCs w:val="21"/>
        </w:rPr>
        <w:t>提前1个工作日申请入校。</w:t>
      </w:r>
    </w:p>
    <w:p>
      <w:pPr>
        <w:ind w:firstLine="420" w:firstLineChars="200"/>
        <w:rPr>
          <w:b/>
        </w:rPr>
      </w:pPr>
    </w:p>
    <w:p>
      <w:pPr>
        <w:pStyle w:val="BodyText2"/>
      </w:pPr>
    </w:p>
    <w:p>
      <w:pPr>
        <w:ind w:firstLine="420" w:firstLineChars="200"/>
        <w:rPr>
          <w:b/>
        </w:rPr>
      </w:pPr>
      <w:r>
        <w:rPr>
          <w:rFonts w:hint="eastAsia"/>
          <w:b/>
        </w:rPr>
        <w:t>（二）其他事项</w:t>
      </w:r>
      <w:bookmarkEnd w:id="37"/>
    </w:p>
    <w:p>
      <w:pPr>
        <w:ind w:firstLine="420" w:firstLineChars="200"/>
        <w:rPr>
          <w:b/>
          <w:bCs/>
        </w:rPr>
      </w:pPr>
      <w:r>
        <w:rPr>
          <w:b/>
          <w:bCs/>
        </w:rPr>
        <w:t>1</w:t>
      </w:r>
      <w:r>
        <w:rPr>
          <w:rFonts w:hint="eastAsia"/>
          <w:b/>
          <w:bCs/>
        </w:rPr>
        <w:t>、关于享受优惠政策的主体及价格扣除比例</w:t>
      </w:r>
    </w:p>
    <w:p>
      <w:pPr>
        <w:ind w:firstLine="420" w:firstLineChars="200"/>
      </w:pPr>
      <w:r>
        <w:rPr>
          <w:rFonts w:hint="eastAsia"/>
        </w:rPr>
        <w:t>（1）投标人提供的货物（以招标文件用户需求书“货物需求明细”的“货物名称”一栏为准）全部均由优惠主体制造，则对其投标总价给予</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2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39" w:name="_Hlk71970739"/>
      <w:r>
        <w:rPr>
          <w:rFonts w:hint="eastAsia"/>
        </w:rPr>
        <w:t>本项目</w:t>
      </w:r>
      <w:bookmarkStart w:id="40" w:name="_Hlk71924718"/>
      <w:r>
        <w:rPr>
          <w:rFonts w:hint="eastAsia"/>
        </w:rPr>
        <w:t>采购标的（货物）对应的中小企业划分标准所属行业</w:t>
      </w:r>
      <w:bookmarkEnd w:id="40"/>
      <w:r>
        <w:rPr>
          <w:rFonts w:hint="eastAsia"/>
        </w:rPr>
        <w:t>为</w:t>
      </w:r>
      <w:r>
        <w:rPr>
          <w:rFonts w:hint="eastAsia"/>
          <w:b/>
          <w:bCs/>
          <w:color w:val="FF0000"/>
          <w:u w:val="single"/>
        </w:rPr>
        <w:t>其它未列明行业</w:t>
      </w:r>
      <w:r>
        <w:rPr>
          <w:rFonts w:hint="eastAsia"/>
        </w:rPr>
        <w:t xml:space="preserve"> 。</w:t>
      </w:r>
      <w:bookmarkEnd w:id="39"/>
    </w:p>
    <w:p>
      <w:pPr>
        <w:ind w:firstLine="42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ind w:firstLine="420" w:firstLineChars="200"/>
        <w:rPr>
          <w:rFonts w:ascii="仿宋" w:eastAsia="仿宋" w:hAnsi="仿宋"/>
          <w:sz w:val="28"/>
          <w:szCs w:val="28"/>
        </w:rPr>
      </w:pPr>
      <w:r>
        <w:rPr>
          <w:rFonts w:hint="eastAsia"/>
        </w:rPr>
        <w:t>（4）享受价格扣除获得政府采购合同的，小微企业不得将合同分包给大中型企业。</w:t>
      </w:r>
    </w:p>
    <w:p>
      <w:pPr>
        <w:rPr>
          <w:b/>
        </w:rPr>
      </w:pPr>
    </w:p>
    <w:p>
      <w:pPr>
        <w:ind w:firstLine="420" w:firstLineChars="200"/>
        <w:rPr>
          <w:b/>
          <w:bCs/>
        </w:rPr>
      </w:pPr>
      <w:r>
        <w:rPr>
          <w:b/>
          <w:bCs/>
        </w:rPr>
        <w:t>2、</w:t>
      </w:r>
      <w:r>
        <w:rPr>
          <w:rFonts w:hint="eastAsia"/>
          <w:b/>
          <w:bCs/>
        </w:rPr>
        <w:t>关于订单融资</w:t>
      </w:r>
    </w:p>
    <w:p>
      <w:pPr>
        <w:ind w:firstLine="420" w:firstLineChars="200"/>
      </w:pPr>
      <w:r>
        <w:rPr>
          <w:rFonts w:hint="eastAsia"/>
        </w:rPr>
        <w:t>关于政府采购订单融资政策：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pPr>
        <w:pStyle w:val="BodyText"/>
      </w:pPr>
    </w:p>
    <w:p>
      <w:pPr>
        <w:ind w:firstLine="420" w:firstLineChars="200"/>
        <w:jc w:val="left"/>
        <w:rPr>
          <w:rFonts w:ascii="宋体" w:hAnsi="宋体" w:cs="宋体"/>
          <w:b/>
          <w:color w:val="FF0000"/>
          <w:szCs w:val="21"/>
        </w:rPr>
      </w:pPr>
      <w:r>
        <w:rPr>
          <w:rFonts w:hint="eastAsia"/>
          <w:b/>
          <w:color w:val="FF0000"/>
        </w:rPr>
        <w:t>3、代理服务费</w:t>
      </w:r>
    </w:p>
    <w:p>
      <w:pPr>
        <w:spacing w:before="50" w:after="50"/>
        <w:ind w:firstLine="420" w:firstLineChars="200"/>
        <w:rPr>
          <w:rFonts w:ascii="宋体" w:hAnsi="宋体" w:cs="宋体"/>
          <w:color w:val="FF0000"/>
          <w:szCs w:val="21"/>
        </w:rPr>
      </w:pPr>
      <w:r>
        <w:rPr>
          <w:rFonts w:ascii="宋体" w:hAnsi="宋体" w:cs="宋体" w:hint="eastAsia"/>
          <w:color w:val="FF0000"/>
          <w:szCs w:val="21"/>
        </w:rPr>
        <w:t>（1）本项目不向中标供应商收取代理服务费</w:t>
      </w:r>
    </w:p>
    <w:p>
      <w:pPr>
        <w:ind w:firstLine="420" w:firstLineChars="200"/>
      </w:pPr>
    </w:p>
    <w:p>
      <w:pPr>
        <w:spacing w:after="160" w:line="259" w:lineRule="auto"/>
        <w:ind w:firstLine="420" w:firstLineChars="200"/>
        <w:jc w:val="left"/>
        <w:rPr>
          <w:rFonts w:ascii="宋体" w:hAnsi="宋体" w:cs="宋体"/>
          <w:b/>
          <w:color w:val="000000" w:themeColor="text1"/>
          <w:szCs w:val="21"/>
          <w14:textFill>
            <w14:solidFill>
              <w14:schemeClr w14:val="tx1"/>
            </w14:solidFill>
          </w14:textFill>
        </w:rPr>
      </w:pPr>
      <w:r>
        <w:rPr>
          <w:b/>
          <w:color w:val="000000" w:themeColor="text1"/>
          <w14:textFill>
            <w14:solidFill>
              <w14:schemeClr w14:val="tx1"/>
            </w14:solidFill>
          </w14:textFill>
        </w:rPr>
        <w:t>4</w:t>
      </w:r>
      <w:r>
        <w:rPr>
          <w:rFonts w:hint="eastAsia"/>
          <w:b/>
          <w:color w:val="000000" w:themeColor="text1"/>
          <w14:textFill>
            <w14:solidFill>
              <w14:schemeClr w14:val="tx1"/>
            </w14:solidFill>
          </w14:textFill>
        </w:rPr>
        <w:t>、其他说明</w:t>
      </w:r>
    </w:p>
    <w:p>
      <w:pPr>
        <w:wordWrap w:val="0"/>
        <w:spacing w:after="160" w:line="360" w:lineRule="auto"/>
        <w:ind w:firstLine="420" w:firstLineChars="200"/>
      </w:pPr>
      <w: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pPr>
        <w:wordWrap w:val="0"/>
        <w:spacing w:after="160" w:line="360" w:lineRule="auto"/>
        <w:ind w:firstLine="420" w:firstLineChars="200"/>
        <w:rPr>
          <w:b/>
          <w:bCs/>
        </w:rPr>
      </w:pPr>
      <w:r>
        <w:rPr>
          <w:b/>
          <w:bCs/>
        </w:rPr>
        <w:t>重要提示：</w:t>
      </w:r>
    </w:p>
    <w:p>
      <w:pPr>
        <w:wordWrap w:val="0"/>
        <w:spacing w:after="160" w:line="360" w:lineRule="auto"/>
        <w:ind w:firstLine="420" w:firstLineChars="200"/>
      </w:pPr>
      <w:r>
        <w:rPr>
          <w:rFonts w:hint="eastAsia"/>
        </w:rPr>
        <w:t>（1）</w:t>
      </w:r>
      <w: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pPr>
        <w:wordWrap w:val="0"/>
        <w:spacing w:after="160" w:line="360" w:lineRule="auto"/>
        <w:ind w:firstLine="420" w:firstLineChars="200"/>
      </w:pPr>
      <w:r>
        <w:rPr>
          <w:rFonts w:hint="eastAsia"/>
        </w:rPr>
        <w:t>（2）</w:t>
      </w:r>
      <w: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pPr>
        <w:wordWrap w:val="0"/>
        <w:spacing w:after="160" w:line="360" w:lineRule="auto"/>
        <w:ind w:firstLine="420" w:firstLineChars="200"/>
      </w:pPr>
      <w:r>
        <w:rPr>
          <w:rFonts w:hint="eastAsia"/>
        </w:rPr>
        <w:t>（3）</w:t>
      </w:r>
      <w: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pPr>
        <w:pStyle w:val="BodyText2"/>
      </w:pPr>
    </w:p>
    <w:p>
      <w:pPr>
        <w:pStyle w:val="Heading2"/>
        <w:rPr>
          <w:sz w:val="28"/>
          <w:szCs w:val="28"/>
        </w:rPr>
      </w:pPr>
      <w:bookmarkEnd w:id="36"/>
      <w:r>
        <w:rPr>
          <w:rFonts w:hint="eastAsia"/>
          <w:sz w:val="28"/>
          <w:szCs w:val="28"/>
        </w:rPr>
        <w:t>第三章 用户需求书</w:t>
      </w:r>
    </w:p>
    <w:p>
      <w:pPr>
        <w:pStyle w:val="Heading2"/>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TableNormal"/>
        <w:tblpPr w:leftFromText="180" w:rightFromText="180" w:vertAnchor="text" w:horzAnchor="margin" w:tblpY="173"/>
        <w:tblW w:w="83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7"/>
        <w:gridCol w:w="2012"/>
        <w:gridCol w:w="3712"/>
        <w:gridCol w:w="2199"/>
      </w:tblGrid>
      <w:tr>
        <w:tblPrEx>
          <w:tblW w:w="835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7" w:type="dxa"/>
            <w:vAlign w:val="center"/>
          </w:tcPr>
          <w:p>
            <w:pPr>
              <w:jc w:val="center"/>
              <w:rPr>
                <w:bCs/>
                <w:szCs w:val="21"/>
              </w:rPr>
            </w:pPr>
            <w:r>
              <w:rPr>
                <w:rFonts w:hint="eastAsia"/>
                <w:bCs/>
                <w:szCs w:val="21"/>
              </w:rPr>
              <w:t>序号</w:t>
            </w:r>
          </w:p>
        </w:tc>
        <w:tc>
          <w:tcPr>
            <w:tcW w:w="2012" w:type="dxa"/>
            <w:vAlign w:val="center"/>
          </w:tcPr>
          <w:p>
            <w:pPr>
              <w:jc w:val="center"/>
              <w:rPr>
                <w:bCs/>
                <w:szCs w:val="21"/>
              </w:rPr>
            </w:pPr>
            <w:r>
              <w:rPr>
                <w:rFonts w:hint="eastAsia"/>
                <w:szCs w:val="21"/>
              </w:rPr>
              <w:t>采购计划编号</w:t>
            </w:r>
          </w:p>
        </w:tc>
        <w:tc>
          <w:tcPr>
            <w:tcW w:w="3712" w:type="dxa"/>
            <w:vAlign w:val="center"/>
          </w:tcPr>
          <w:p>
            <w:pPr>
              <w:jc w:val="center"/>
              <w:rPr>
                <w:bCs/>
                <w:szCs w:val="21"/>
              </w:rPr>
            </w:pPr>
            <w:r>
              <w:rPr>
                <w:rFonts w:hint="eastAsia"/>
                <w:bCs/>
                <w:szCs w:val="21"/>
              </w:rPr>
              <w:t>采购项目名称</w:t>
            </w:r>
          </w:p>
        </w:tc>
        <w:tc>
          <w:tcPr>
            <w:tcW w:w="2199" w:type="dxa"/>
            <w:vAlign w:val="center"/>
          </w:tcPr>
          <w:p>
            <w:pPr>
              <w:jc w:val="center"/>
              <w:rPr>
                <w:b/>
                <w:bCs/>
                <w:color w:val="FF0000"/>
                <w:szCs w:val="21"/>
              </w:rPr>
            </w:pPr>
            <w:r>
              <w:rPr>
                <w:rFonts w:hint="eastAsia"/>
                <w:b/>
                <w:bCs/>
                <w:color w:val="FF0000"/>
                <w:szCs w:val="21"/>
              </w:rPr>
              <w:t>预算金额（元）</w:t>
            </w:r>
          </w:p>
        </w:tc>
      </w:tr>
      <w:tr>
        <w:tblPrEx>
          <w:tblW w:w="8350" w:type="dxa"/>
          <w:tblInd w:w="0" w:type="dxa"/>
          <w:tblLayout w:type="fixed"/>
          <w:tblCellMar>
            <w:top w:w="0" w:type="dxa"/>
            <w:left w:w="108" w:type="dxa"/>
            <w:bottom w:w="0" w:type="dxa"/>
            <w:right w:w="108" w:type="dxa"/>
          </w:tblCellMar>
        </w:tblPrEx>
        <w:trPr>
          <w:trHeight w:val="290"/>
        </w:trPr>
        <w:tc>
          <w:tcPr>
            <w:tcW w:w="427" w:type="dxa"/>
            <w:vAlign w:val="center"/>
          </w:tcPr>
          <w:p>
            <w:pPr>
              <w:jc w:val="center"/>
              <w:rPr>
                <w:szCs w:val="21"/>
              </w:rPr>
            </w:pPr>
            <w:r>
              <w:rPr>
                <w:rFonts w:hint="eastAsia"/>
                <w:szCs w:val="21"/>
              </w:rPr>
              <w:t>1</w:t>
            </w:r>
          </w:p>
        </w:tc>
        <w:tc>
          <w:tcPr>
            <w:tcW w:w="2012" w:type="dxa"/>
            <w:vAlign w:val="center"/>
          </w:tcPr>
          <w:p>
            <w:pPr>
              <w:jc w:val="center"/>
              <w:rPr>
                <w:szCs w:val="21"/>
              </w:rPr>
            </w:pPr>
            <w:r>
              <w:rPr>
                <w:rFonts w:hint="eastAsia"/>
                <w:szCs w:val="21"/>
              </w:rPr>
              <w:t>PLAN-2023-440300000-103609-10626</w:t>
            </w:r>
          </w:p>
        </w:tc>
        <w:tc>
          <w:tcPr>
            <w:tcW w:w="3712" w:type="dxa"/>
            <w:vAlign w:val="center"/>
          </w:tcPr>
          <w:p>
            <w:pPr>
              <w:jc w:val="center"/>
              <w:rPr>
                <w:szCs w:val="21"/>
              </w:rPr>
            </w:pPr>
            <w:r>
              <w:rPr>
                <w:rFonts w:hint="eastAsia"/>
                <w:szCs w:val="21"/>
              </w:rPr>
              <w:t>清华大学深圳国际研究生院国际一期新增智慧教室系统项目</w:t>
            </w:r>
          </w:p>
        </w:tc>
        <w:tc>
          <w:tcPr>
            <w:tcW w:w="2199" w:type="dxa"/>
            <w:vAlign w:val="center"/>
          </w:tcPr>
          <w:p>
            <w:pPr>
              <w:jc w:val="center"/>
              <w:rPr>
                <w:szCs w:val="21"/>
              </w:rPr>
            </w:pPr>
            <w:r>
              <w:rPr>
                <w:rFonts w:hint="eastAsia"/>
                <w:szCs w:val="21"/>
              </w:rPr>
              <w:t>3178900.00 </w:t>
            </w:r>
          </w:p>
        </w:tc>
      </w:tr>
    </w:tbl>
    <w:p>
      <w:pPr>
        <w:rPr>
          <w:rFonts w:ascii="宋体" w:hAnsi="宋体"/>
          <w:b/>
          <w:color w:val="FF0000"/>
          <w:szCs w:val="21"/>
        </w:rPr>
      </w:pPr>
    </w:p>
    <w:p>
      <w:pPr>
        <w:pStyle w:val="Heading2"/>
        <w:spacing w:before="120" w:beforeLines="50" w:after="120" w:afterLines="50"/>
        <w:rPr>
          <w:color w:val="FF0000"/>
          <w:szCs w:val="21"/>
        </w:rPr>
      </w:pPr>
      <w:bookmarkStart w:id="41" w:name="_Hlk72258617"/>
      <w:r>
        <w:rPr>
          <w:rFonts w:hint="eastAsia"/>
          <w:szCs w:val="24"/>
        </w:rPr>
        <w:t>二、</w:t>
      </w:r>
      <w:bookmarkStart w:id="42" w:name="_Hlk72073432"/>
      <w:r>
        <w:rPr>
          <w:rFonts w:hint="eastAsia"/>
          <w:szCs w:val="24"/>
        </w:rPr>
        <w:t>货物需求明细</w:t>
      </w:r>
      <w:bookmarkEnd w:id="42"/>
    </w:p>
    <w:p>
      <w:pPr>
        <w:ind w:firstLine="420" w:firstLineChars="200"/>
        <w:rPr>
          <w:rFonts w:ascii="宋体" w:hAnsi="宋体"/>
          <w:b/>
          <w:color w:val="FF0000"/>
          <w:szCs w:val="21"/>
        </w:rPr>
      </w:pPr>
    </w:p>
    <w:tbl>
      <w:tblPr>
        <w:tblStyle w:val="TableNormal"/>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56"/>
        <w:gridCol w:w="1497"/>
        <w:gridCol w:w="2803"/>
        <w:gridCol w:w="808"/>
        <w:gridCol w:w="799"/>
        <w:gridCol w:w="1142"/>
      </w:tblGrid>
      <w:tr>
        <w:tblPrEx>
          <w:tblW w:w="7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bCs/>
                <w:szCs w:val="21"/>
              </w:rPr>
            </w:pPr>
            <w:r>
              <w:rPr>
                <w:rFonts w:hint="eastAsia"/>
                <w:bCs/>
                <w:szCs w:val="21"/>
              </w:rPr>
              <w:t>序号</w:t>
            </w:r>
          </w:p>
        </w:tc>
        <w:tc>
          <w:tcPr>
            <w:tcW w:w="1497" w:type="dxa"/>
            <w:shd w:val="clear" w:color="auto" w:fill="auto"/>
            <w:noWrap/>
          </w:tcPr>
          <w:p>
            <w:pPr>
              <w:jc w:val="center"/>
              <w:rPr>
                <w:bCs/>
                <w:szCs w:val="21"/>
              </w:rPr>
            </w:pPr>
            <w:r>
              <w:rPr>
                <w:rFonts w:hint="eastAsia"/>
                <w:bCs/>
                <w:szCs w:val="21"/>
              </w:rPr>
              <w:t>采购计划编号</w:t>
            </w:r>
          </w:p>
        </w:tc>
        <w:tc>
          <w:tcPr>
            <w:tcW w:w="2803" w:type="dxa"/>
            <w:shd w:val="clear" w:color="auto" w:fill="auto"/>
            <w:noWrap/>
          </w:tcPr>
          <w:p>
            <w:pPr>
              <w:jc w:val="center"/>
              <w:rPr>
                <w:rFonts w:ascii="宋体" w:hAnsi="宋体"/>
                <w:b/>
                <w:bCs/>
                <w:sz w:val="18"/>
                <w:szCs w:val="18"/>
              </w:rPr>
            </w:pPr>
            <w:r>
              <w:rPr>
                <w:rFonts w:hint="eastAsia"/>
                <w:bCs/>
                <w:szCs w:val="21"/>
              </w:rPr>
              <w:t>货物名称（标的名称）</w:t>
            </w:r>
          </w:p>
        </w:tc>
        <w:tc>
          <w:tcPr>
            <w:tcW w:w="808" w:type="dxa"/>
            <w:shd w:val="clear" w:color="auto" w:fill="auto"/>
            <w:noWrap/>
          </w:tcPr>
          <w:p>
            <w:pPr>
              <w:jc w:val="center"/>
              <w:rPr>
                <w:bCs/>
                <w:szCs w:val="21"/>
              </w:rPr>
            </w:pPr>
            <w:r>
              <w:rPr>
                <w:rFonts w:hint="eastAsia"/>
                <w:bCs/>
                <w:szCs w:val="21"/>
              </w:rPr>
              <w:t>数量</w:t>
            </w:r>
          </w:p>
        </w:tc>
        <w:tc>
          <w:tcPr>
            <w:tcW w:w="799" w:type="dxa"/>
            <w:shd w:val="clear" w:color="auto" w:fill="auto"/>
            <w:noWrap/>
          </w:tcPr>
          <w:p>
            <w:pPr>
              <w:jc w:val="center"/>
              <w:rPr>
                <w:bCs/>
                <w:szCs w:val="21"/>
              </w:rPr>
            </w:pPr>
            <w:r>
              <w:rPr>
                <w:rFonts w:hint="eastAsia"/>
                <w:bCs/>
                <w:szCs w:val="21"/>
              </w:rPr>
              <w:t>单位</w:t>
            </w:r>
          </w:p>
        </w:tc>
        <w:tc>
          <w:tcPr>
            <w:tcW w:w="1142" w:type="dxa"/>
          </w:tcPr>
          <w:p>
            <w:pPr>
              <w:jc w:val="center"/>
              <w:rPr>
                <w:bCs/>
                <w:szCs w:val="21"/>
              </w:rPr>
            </w:pPr>
            <w:r>
              <w:rPr>
                <w:rFonts w:hint="eastAsia"/>
                <w:bCs/>
                <w:szCs w:val="21"/>
              </w:rPr>
              <w:t>备注</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w:t>
            </w:r>
          </w:p>
        </w:tc>
        <w:tc>
          <w:tcPr>
            <w:tcW w:w="1497" w:type="dxa"/>
            <w:vMerge w:val="restart"/>
            <w:shd w:val="clear" w:color="auto" w:fill="auto"/>
            <w:noWrap/>
          </w:tcPr>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bCs/>
                <w:szCs w:val="21"/>
              </w:rPr>
            </w:pPr>
          </w:p>
          <w:p>
            <w:pPr>
              <w:jc w:val="center"/>
              <w:rPr>
                <w:rFonts w:ascii="宋体" w:hAnsi="宋体"/>
                <w:sz w:val="18"/>
                <w:szCs w:val="18"/>
              </w:rPr>
            </w:pPr>
            <w:r>
              <w:rPr>
                <w:rFonts w:hint="eastAsia"/>
                <w:bCs/>
                <w:szCs w:val="21"/>
              </w:rPr>
              <w:t>PLAN-2023-440300000-103609-10626</w:t>
            </w:r>
          </w:p>
        </w:tc>
        <w:tc>
          <w:tcPr>
            <w:tcW w:w="2803" w:type="dxa"/>
            <w:shd w:val="clear" w:color="auto" w:fill="auto"/>
            <w:noWrap/>
          </w:tcPr>
          <w:p>
            <w:pPr>
              <w:jc w:val="center"/>
              <w:rPr>
                <w:rFonts w:ascii="宋体" w:hAnsi="宋体"/>
                <w:sz w:val="18"/>
                <w:szCs w:val="18"/>
              </w:rPr>
            </w:pPr>
            <w:r>
              <w:rPr>
                <w:rFonts w:ascii="宋体" w:hAnsi="宋体"/>
                <w:sz w:val="18"/>
                <w:szCs w:val="18"/>
              </w:rPr>
              <w:t>高清激光投影机</w:t>
            </w:r>
          </w:p>
        </w:tc>
        <w:tc>
          <w:tcPr>
            <w:tcW w:w="808" w:type="dxa"/>
            <w:shd w:val="clear" w:color="auto" w:fill="auto"/>
            <w:noWrap/>
          </w:tcPr>
          <w:p>
            <w:pPr>
              <w:jc w:val="center"/>
              <w:rPr>
                <w:rFonts w:ascii="宋体" w:hAnsi="宋体"/>
                <w:sz w:val="18"/>
                <w:szCs w:val="18"/>
              </w:rPr>
            </w:pPr>
            <w:r>
              <w:rPr>
                <w:rFonts w:ascii="宋体" w:hAnsi="宋体" w:hint="eastAsia"/>
                <w:sz w:val="18"/>
                <w:szCs w:val="18"/>
              </w:rPr>
              <w:t>11</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1142" w:type="dxa"/>
            <w:vMerge w:val="restart"/>
          </w:tcPr>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rFonts w:ascii="宋体" w:hAnsi="宋体"/>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sz w:val="18"/>
                <w:szCs w:val="18"/>
              </w:rPr>
              <w:t>幕布</w:t>
            </w:r>
          </w:p>
        </w:tc>
        <w:tc>
          <w:tcPr>
            <w:tcW w:w="808" w:type="dxa"/>
            <w:shd w:val="clear" w:color="auto" w:fill="auto"/>
            <w:noWrap/>
          </w:tcPr>
          <w:p>
            <w:pPr>
              <w:jc w:val="center"/>
              <w:rPr>
                <w:rFonts w:ascii="宋体" w:hAnsi="宋体"/>
                <w:sz w:val="18"/>
                <w:szCs w:val="18"/>
              </w:rPr>
            </w:pPr>
            <w:r>
              <w:rPr>
                <w:rFonts w:ascii="宋体" w:hAnsi="宋体" w:hint="eastAsia"/>
                <w:sz w:val="18"/>
                <w:szCs w:val="18"/>
              </w:rPr>
              <w:t>11</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超短焦激光投影机</w:t>
            </w:r>
          </w:p>
        </w:tc>
        <w:tc>
          <w:tcPr>
            <w:tcW w:w="808" w:type="dxa"/>
            <w:shd w:val="clear" w:color="auto" w:fill="auto"/>
            <w:noWrap/>
          </w:tcPr>
          <w:p>
            <w:pPr>
              <w:jc w:val="center"/>
              <w:rPr>
                <w:rFonts w:ascii="宋体" w:hAnsi="宋体"/>
                <w:sz w:val="18"/>
                <w:szCs w:val="18"/>
              </w:rPr>
            </w:pPr>
            <w:r>
              <w:rPr>
                <w:rFonts w:ascii="宋体" w:hAnsi="宋体" w:hint="eastAsia"/>
                <w:sz w:val="18"/>
                <w:szCs w:val="18"/>
              </w:rPr>
              <w:t>3</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交互式触控投影屏幕（100寸）</w:t>
            </w:r>
          </w:p>
        </w:tc>
        <w:tc>
          <w:tcPr>
            <w:tcW w:w="808" w:type="dxa"/>
            <w:shd w:val="clear" w:color="auto" w:fill="auto"/>
            <w:noWrap/>
          </w:tcPr>
          <w:p>
            <w:pPr>
              <w:jc w:val="center"/>
              <w:rPr>
                <w:rFonts w:ascii="宋体" w:hAnsi="宋体"/>
                <w:sz w:val="18"/>
                <w:szCs w:val="18"/>
              </w:rPr>
            </w:pPr>
            <w:r>
              <w:rPr>
                <w:rFonts w:ascii="宋体" w:hAnsi="宋体" w:hint="eastAsia"/>
                <w:sz w:val="18"/>
                <w:szCs w:val="18"/>
              </w:rPr>
              <w:t>2</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5</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交互式触控投影屏幕（120寸）</w:t>
            </w:r>
          </w:p>
        </w:tc>
        <w:tc>
          <w:tcPr>
            <w:tcW w:w="808" w:type="dxa"/>
            <w:shd w:val="clear" w:color="auto" w:fill="auto"/>
            <w:noWrap/>
          </w:tcPr>
          <w:p>
            <w:pPr>
              <w:jc w:val="center"/>
              <w:rPr>
                <w:rFonts w:ascii="宋体" w:hAnsi="宋体"/>
                <w:sz w:val="18"/>
                <w:szCs w:val="18"/>
              </w:rPr>
            </w:pPr>
            <w:r>
              <w:rPr>
                <w:rFonts w:ascii="宋体" w:hAnsi="宋体" w:hint="eastAsia"/>
                <w:sz w:val="18"/>
                <w:szCs w:val="18"/>
              </w:rPr>
              <w:t>1</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块</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6</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学生交互教学终端</w:t>
            </w:r>
          </w:p>
        </w:tc>
        <w:tc>
          <w:tcPr>
            <w:tcW w:w="808" w:type="dxa"/>
            <w:shd w:val="clear" w:color="auto" w:fill="auto"/>
            <w:noWrap/>
          </w:tcPr>
          <w:p>
            <w:pPr>
              <w:jc w:val="center"/>
              <w:rPr>
                <w:rFonts w:ascii="宋体" w:hAnsi="宋体"/>
                <w:sz w:val="18"/>
                <w:szCs w:val="18"/>
              </w:rPr>
            </w:pPr>
            <w:r>
              <w:rPr>
                <w:rFonts w:ascii="宋体" w:hAnsi="宋体" w:hint="eastAsia"/>
                <w:sz w:val="18"/>
                <w:szCs w:val="18"/>
              </w:rPr>
              <w:t>5</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7</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智能互动交互系统</w:t>
            </w:r>
          </w:p>
        </w:tc>
        <w:tc>
          <w:tcPr>
            <w:tcW w:w="808" w:type="dxa"/>
            <w:shd w:val="clear" w:color="auto" w:fill="auto"/>
            <w:noWrap/>
          </w:tcPr>
          <w:p>
            <w:pPr>
              <w:jc w:val="center"/>
              <w:rPr>
                <w:rFonts w:ascii="宋体" w:hAnsi="宋体"/>
                <w:sz w:val="18"/>
                <w:szCs w:val="18"/>
              </w:rPr>
            </w:pPr>
            <w:r>
              <w:rPr>
                <w:rFonts w:ascii="宋体" w:hAnsi="宋体" w:hint="eastAsia"/>
                <w:sz w:val="18"/>
                <w:szCs w:val="18"/>
              </w:rPr>
              <w:t>1</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8</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教师电脑主机</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9</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触控显示器</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10</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无线投屏器</w:t>
            </w:r>
          </w:p>
        </w:tc>
        <w:tc>
          <w:tcPr>
            <w:tcW w:w="808" w:type="dxa"/>
            <w:shd w:val="clear" w:color="auto" w:fill="auto"/>
            <w:noWrap/>
          </w:tcPr>
          <w:p>
            <w:pPr>
              <w:jc w:val="center"/>
              <w:rPr>
                <w:rFonts w:ascii="宋体" w:hAnsi="宋体"/>
                <w:sz w:val="18"/>
                <w:szCs w:val="18"/>
              </w:rPr>
            </w:pPr>
            <w:r>
              <w:rPr>
                <w:rFonts w:ascii="宋体" w:hAnsi="宋体" w:hint="eastAsia"/>
                <w:sz w:val="18"/>
                <w:szCs w:val="18"/>
              </w:rPr>
              <w:t>6</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11</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音视频采集卡</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12</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视频传输器</w:t>
            </w:r>
          </w:p>
        </w:tc>
        <w:tc>
          <w:tcPr>
            <w:tcW w:w="808" w:type="dxa"/>
            <w:shd w:val="clear" w:color="auto" w:fill="auto"/>
            <w:noWrap/>
          </w:tcPr>
          <w:p>
            <w:pPr>
              <w:jc w:val="center"/>
              <w:rPr>
                <w:rFonts w:ascii="宋体" w:hAnsi="宋体"/>
                <w:sz w:val="18"/>
                <w:szCs w:val="18"/>
              </w:rPr>
            </w:pPr>
            <w:r>
              <w:rPr>
                <w:rFonts w:ascii="宋体" w:hAnsi="宋体" w:hint="eastAsia"/>
                <w:sz w:val="18"/>
                <w:szCs w:val="18"/>
              </w:rPr>
              <w:t>18</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13</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视频矩阵</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14</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返看显示器</w:t>
            </w:r>
          </w:p>
        </w:tc>
        <w:tc>
          <w:tcPr>
            <w:tcW w:w="808" w:type="dxa"/>
            <w:shd w:val="clear" w:color="auto" w:fill="auto"/>
            <w:noWrap/>
          </w:tcPr>
          <w:p>
            <w:pPr>
              <w:jc w:val="center"/>
              <w:rPr>
                <w:rFonts w:ascii="宋体" w:hAnsi="宋体"/>
                <w:sz w:val="18"/>
                <w:szCs w:val="18"/>
              </w:rPr>
            </w:pPr>
            <w:r>
              <w:rPr>
                <w:rFonts w:ascii="宋体" w:hAnsi="宋体" w:hint="eastAsia"/>
                <w:sz w:val="18"/>
                <w:szCs w:val="18"/>
              </w:rPr>
              <w:t xml:space="preserve">14 </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15</w:t>
            </w:r>
          </w:p>
        </w:tc>
        <w:tc>
          <w:tcPr>
            <w:tcW w:w="1497" w:type="dxa"/>
            <w:vMerge w:val="restart"/>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数字红外无线教学扩声系统主机</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val="restart"/>
          </w:tcPr>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szCs w:val="21"/>
              </w:rPr>
            </w:pPr>
          </w:p>
          <w:p>
            <w:pPr>
              <w:spacing w:before="100" w:beforeAutospacing="1" w:after="100" w:afterAutospacing="1"/>
              <w:jc w:val="center"/>
              <w:outlineLvl w:val="1"/>
              <w:rPr>
                <w:rFonts w:ascii="宋体" w:hAnsi="宋体"/>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16</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数字红外接收器</w:t>
            </w:r>
          </w:p>
        </w:tc>
        <w:tc>
          <w:tcPr>
            <w:tcW w:w="808" w:type="dxa"/>
            <w:shd w:val="clear" w:color="auto" w:fill="auto"/>
            <w:noWrap/>
          </w:tcPr>
          <w:p>
            <w:pPr>
              <w:jc w:val="center"/>
              <w:rPr>
                <w:rFonts w:ascii="宋体" w:hAnsi="宋体"/>
                <w:sz w:val="18"/>
                <w:szCs w:val="18"/>
              </w:rPr>
            </w:pPr>
            <w:r>
              <w:rPr>
                <w:rFonts w:ascii="宋体" w:hAnsi="宋体" w:hint="eastAsia"/>
                <w:sz w:val="18"/>
                <w:szCs w:val="18"/>
              </w:rPr>
              <w:t>28</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17</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数</w:t>
            </w:r>
            <w:r>
              <w:rPr>
                <w:rFonts w:ascii="宋体" w:hAnsi="宋体"/>
                <w:sz w:val="18"/>
                <w:szCs w:val="18"/>
              </w:rPr>
              <w:t>字</w:t>
            </w:r>
            <w:r>
              <w:rPr>
                <w:rFonts w:ascii="宋体" w:hAnsi="宋体" w:hint="eastAsia"/>
                <w:sz w:val="18"/>
                <w:szCs w:val="18"/>
              </w:rPr>
              <w:t>红</w:t>
            </w:r>
            <w:r>
              <w:rPr>
                <w:rFonts w:ascii="宋体" w:hAnsi="宋体"/>
                <w:sz w:val="18"/>
                <w:szCs w:val="18"/>
              </w:rPr>
              <w:t>外</w:t>
            </w:r>
            <w:r>
              <w:rPr>
                <w:rFonts w:ascii="宋体" w:hAnsi="宋体" w:hint="eastAsia"/>
                <w:sz w:val="18"/>
                <w:szCs w:val="18"/>
              </w:rPr>
              <w:t>无线麦</w:t>
            </w:r>
            <w:r>
              <w:rPr>
                <w:rFonts w:ascii="宋体" w:hAnsi="宋体"/>
                <w:sz w:val="18"/>
                <w:szCs w:val="18"/>
              </w:rPr>
              <w:t>克</w:t>
            </w:r>
            <w:r>
              <w:rPr>
                <w:rFonts w:ascii="宋体" w:hAnsi="宋体" w:hint="eastAsia"/>
                <w:sz w:val="18"/>
                <w:szCs w:val="18"/>
              </w:rPr>
              <w:t>风</w:t>
            </w:r>
          </w:p>
        </w:tc>
        <w:tc>
          <w:tcPr>
            <w:tcW w:w="808" w:type="dxa"/>
            <w:shd w:val="clear" w:color="auto" w:fill="auto"/>
            <w:noWrap/>
          </w:tcPr>
          <w:p>
            <w:pPr>
              <w:jc w:val="center"/>
              <w:rPr>
                <w:rFonts w:ascii="宋体" w:hAnsi="宋体"/>
                <w:sz w:val="18"/>
                <w:szCs w:val="18"/>
              </w:rPr>
            </w:pPr>
            <w:r>
              <w:rPr>
                <w:rFonts w:ascii="宋体" w:hAnsi="宋体" w:hint="eastAsia"/>
                <w:sz w:val="18"/>
                <w:szCs w:val="18"/>
              </w:rPr>
              <w:t>18</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18</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全向麦克风</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19</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有线麦克风</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只</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20</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一进四出网口分路器</w:t>
            </w:r>
          </w:p>
        </w:tc>
        <w:tc>
          <w:tcPr>
            <w:tcW w:w="808" w:type="dxa"/>
            <w:shd w:val="clear" w:color="auto" w:fill="auto"/>
            <w:noWrap/>
          </w:tcPr>
          <w:p>
            <w:pPr>
              <w:jc w:val="center"/>
              <w:rPr>
                <w:rFonts w:ascii="宋体" w:hAnsi="宋体"/>
                <w:sz w:val="18"/>
                <w:szCs w:val="18"/>
              </w:rPr>
            </w:pPr>
            <w:r>
              <w:rPr>
                <w:rFonts w:ascii="宋体" w:hAnsi="宋体" w:hint="eastAsia"/>
                <w:sz w:val="18"/>
                <w:szCs w:val="18"/>
              </w:rPr>
              <w:t>12</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21</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数字音频功率放大器</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22</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扬声器</w:t>
            </w:r>
          </w:p>
        </w:tc>
        <w:tc>
          <w:tcPr>
            <w:tcW w:w="808" w:type="dxa"/>
            <w:shd w:val="clear" w:color="auto" w:fill="auto"/>
            <w:noWrap/>
          </w:tcPr>
          <w:p>
            <w:pPr>
              <w:jc w:val="center"/>
              <w:rPr>
                <w:rFonts w:ascii="宋体" w:hAnsi="宋体"/>
                <w:sz w:val="18"/>
                <w:szCs w:val="18"/>
              </w:rPr>
            </w:pPr>
            <w:r>
              <w:rPr>
                <w:rFonts w:ascii="宋体" w:hAnsi="宋体" w:hint="eastAsia"/>
                <w:sz w:val="18"/>
                <w:szCs w:val="18"/>
              </w:rPr>
              <w:t>32</w:t>
            </w:r>
          </w:p>
        </w:tc>
        <w:tc>
          <w:tcPr>
            <w:tcW w:w="799" w:type="dxa"/>
            <w:shd w:val="clear" w:color="auto" w:fill="auto"/>
          </w:tcPr>
          <w:p>
            <w:pPr>
              <w:spacing w:before="100" w:beforeAutospacing="1" w:after="100" w:afterAutospacing="1"/>
              <w:jc w:val="center"/>
              <w:outlineLvl w:val="1"/>
              <w:rPr>
                <w:rFonts w:ascii="宋体" w:hAnsi="宋体"/>
                <w:sz w:val="18"/>
                <w:szCs w:val="18"/>
              </w:rPr>
            </w:pPr>
            <w:r>
              <w:rPr>
                <w:rFonts w:ascii="宋体" w:hAnsi="宋体" w:hint="eastAsia"/>
                <w:sz w:val="18"/>
                <w:szCs w:val="18"/>
              </w:rPr>
              <w:t>只</w:t>
            </w:r>
          </w:p>
        </w:tc>
        <w:tc>
          <w:tcPr>
            <w:tcW w:w="1142" w:type="dxa"/>
            <w:vMerge/>
          </w:tcPr>
          <w:p>
            <w:pPr>
              <w:spacing w:before="100" w:beforeAutospacing="1" w:after="100" w:afterAutospacing="1"/>
              <w:jc w:val="center"/>
              <w:outlineLvl w:val="1"/>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23</w:t>
            </w:r>
          </w:p>
        </w:tc>
        <w:tc>
          <w:tcPr>
            <w:tcW w:w="1497" w:type="dxa"/>
            <w:vMerge w:val="restart"/>
            <w:shd w:val="clear" w:color="auto" w:fill="auto"/>
            <w:noWrap/>
          </w:tcPr>
          <w:p>
            <w:pPr>
              <w:jc w:val="center"/>
              <w:rPr>
                <w:bCs/>
                <w:szCs w:val="21"/>
              </w:rPr>
            </w:pPr>
          </w:p>
          <w:p>
            <w:pPr>
              <w:jc w:val="center"/>
              <w:rPr>
                <w:bCs/>
                <w:szCs w:val="21"/>
              </w:rPr>
            </w:pPr>
          </w:p>
          <w:p>
            <w:pPr>
              <w:jc w:val="center"/>
              <w:rPr>
                <w:rFonts w:ascii="宋体" w:hAnsi="宋体"/>
                <w:sz w:val="18"/>
                <w:szCs w:val="18"/>
              </w:rPr>
            </w:pPr>
            <w:r>
              <w:rPr>
                <w:rFonts w:hint="eastAsia"/>
                <w:bCs/>
                <w:szCs w:val="21"/>
              </w:rPr>
              <w:t>PLAN-2023-440300000-103609-10626</w:t>
            </w:r>
          </w:p>
        </w:tc>
        <w:tc>
          <w:tcPr>
            <w:tcW w:w="2803" w:type="dxa"/>
            <w:shd w:val="clear" w:color="auto" w:fill="auto"/>
            <w:noWrap/>
          </w:tcPr>
          <w:p>
            <w:pPr>
              <w:jc w:val="center"/>
              <w:rPr>
                <w:rFonts w:ascii="宋体" w:hAnsi="宋体"/>
                <w:sz w:val="18"/>
                <w:szCs w:val="18"/>
              </w:rPr>
            </w:pPr>
            <w:r>
              <w:rPr>
                <w:rFonts w:ascii="宋体" w:hAnsi="宋体" w:hint="eastAsia"/>
                <w:sz w:val="18"/>
                <w:szCs w:val="18"/>
              </w:rPr>
              <w:t>常态化录播主机</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val="restart"/>
          </w:tcPr>
          <w:p>
            <w:pPr>
              <w:spacing w:before="100" w:beforeAutospacing="1" w:after="100" w:afterAutospacing="1"/>
              <w:jc w:val="center"/>
              <w:outlineLvl w:val="1"/>
              <w:rPr>
                <w:szCs w:val="21"/>
              </w:rPr>
            </w:pPr>
          </w:p>
          <w:p>
            <w:pPr>
              <w:spacing w:before="100" w:beforeAutospacing="1" w:after="100" w:afterAutospacing="1"/>
              <w:jc w:val="center"/>
              <w:outlineLvl w:val="1"/>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24</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录播管理软件</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25</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行为识别软件</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26</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录播摄像头</w:t>
            </w:r>
          </w:p>
        </w:tc>
        <w:tc>
          <w:tcPr>
            <w:tcW w:w="808" w:type="dxa"/>
            <w:shd w:val="clear" w:color="auto" w:fill="auto"/>
            <w:noWrap/>
          </w:tcPr>
          <w:p>
            <w:pPr>
              <w:jc w:val="center"/>
              <w:rPr>
                <w:rFonts w:ascii="宋体" w:hAnsi="宋体"/>
                <w:sz w:val="18"/>
                <w:szCs w:val="18"/>
              </w:rPr>
            </w:pPr>
            <w:r>
              <w:rPr>
                <w:rFonts w:ascii="宋体" w:hAnsi="宋体" w:hint="eastAsia"/>
                <w:sz w:val="18"/>
                <w:szCs w:val="18"/>
              </w:rPr>
              <w:t>18</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27</w:t>
            </w:r>
          </w:p>
        </w:tc>
        <w:tc>
          <w:tcPr>
            <w:tcW w:w="1497" w:type="dxa"/>
            <w:vMerge w:val="restart"/>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中控主机</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val="restart"/>
          </w:tcPr>
          <w:p>
            <w:pPr>
              <w:spacing w:before="100" w:beforeAutospacing="1" w:after="100" w:afterAutospacing="1"/>
              <w:outlineLvl w:val="1"/>
              <w:rPr>
                <w:szCs w:val="21"/>
              </w:rPr>
            </w:pPr>
          </w:p>
          <w:p>
            <w:pPr>
              <w:spacing w:before="100" w:beforeAutospacing="1" w:after="100" w:afterAutospacing="1"/>
              <w:jc w:val="center"/>
              <w:outlineLvl w:val="1"/>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28</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触控屏</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29</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中控编程</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30</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强电继电器</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31</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16口千兆交换机</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jc w:val="center"/>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32</w:t>
            </w:r>
          </w:p>
        </w:tc>
        <w:tc>
          <w:tcPr>
            <w:tcW w:w="1497" w:type="dxa"/>
            <w:vMerge w:val="restart"/>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调光器</w:t>
            </w:r>
          </w:p>
        </w:tc>
        <w:tc>
          <w:tcPr>
            <w:tcW w:w="808" w:type="dxa"/>
            <w:shd w:val="clear" w:color="auto" w:fill="auto"/>
            <w:noWrap/>
          </w:tcPr>
          <w:p>
            <w:pPr>
              <w:jc w:val="center"/>
              <w:rPr>
                <w:rFonts w:ascii="宋体" w:hAnsi="宋体"/>
                <w:sz w:val="18"/>
                <w:szCs w:val="18"/>
              </w:rPr>
            </w:pPr>
            <w:r>
              <w:rPr>
                <w:rFonts w:ascii="宋体" w:hAnsi="宋体" w:hint="eastAsia"/>
                <w:sz w:val="18"/>
                <w:szCs w:val="18"/>
              </w:rPr>
              <w:t>5</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1142" w:type="dxa"/>
            <w:vMerge w:val="restart"/>
          </w:tcPr>
          <w:p>
            <w:pPr>
              <w:spacing w:before="100" w:beforeAutospacing="1" w:after="100" w:afterAutospacing="1"/>
              <w:jc w:val="center"/>
              <w:outlineLvl w:val="1"/>
              <w:rPr>
                <w:szCs w:val="21"/>
              </w:rPr>
            </w:pPr>
          </w:p>
          <w:p>
            <w:pPr>
              <w:spacing w:before="100" w:beforeAutospacing="1" w:after="100" w:afterAutospacing="1"/>
              <w:jc w:val="center"/>
              <w:outlineLvl w:val="1"/>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33</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六合一传感器</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个</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34</w:t>
            </w:r>
          </w:p>
        </w:tc>
        <w:tc>
          <w:tcPr>
            <w:tcW w:w="1497" w:type="dxa"/>
            <w:vMerge/>
            <w:shd w:val="clear" w:color="auto" w:fill="auto"/>
            <w:noWrap/>
            <w:vAlign w:val="center"/>
          </w:tcPr>
          <w:p>
            <w:pPr>
              <w:jc w:val="center"/>
              <w:rPr>
                <w:rFonts w:ascii="宋体" w:hAnsi="宋体"/>
                <w:sz w:val="18"/>
                <w:szCs w:val="18"/>
              </w:rPr>
            </w:pP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RFID标签</w:t>
            </w:r>
          </w:p>
        </w:tc>
        <w:tc>
          <w:tcPr>
            <w:tcW w:w="808" w:type="dxa"/>
            <w:shd w:val="clear" w:color="auto" w:fill="auto"/>
            <w:noWrap/>
          </w:tcPr>
          <w:p>
            <w:pPr>
              <w:jc w:val="center"/>
              <w:rPr>
                <w:rFonts w:ascii="宋体" w:hAnsi="宋体"/>
                <w:sz w:val="18"/>
                <w:szCs w:val="18"/>
              </w:rPr>
            </w:pPr>
            <w:r>
              <w:rPr>
                <w:rFonts w:ascii="宋体" w:hAnsi="宋体" w:hint="eastAsia"/>
                <w:sz w:val="18"/>
                <w:szCs w:val="18"/>
              </w:rPr>
              <w:t>270</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张</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35</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RFID阅读器</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1142" w:type="dxa"/>
            <w:vMerge/>
          </w:tcPr>
          <w:p>
            <w:pPr>
              <w:spacing w:before="100" w:beforeAutospacing="1" w:after="100" w:afterAutospacing="1"/>
              <w:jc w:val="center"/>
              <w:outlineLvl w:val="1"/>
              <w:rPr>
                <w:rFonts w:ascii="宋体" w:hAnsi="宋体"/>
                <w:b/>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36</w:t>
            </w:r>
          </w:p>
        </w:tc>
        <w:tc>
          <w:tcPr>
            <w:tcW w:w="1497" w:type="dxa"/>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监控摄像头</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台</w:t>
            </w:r>
          </w:p>
        </w:tc>
        <w:tc>
          <w:tcPr>
            <w:tcW w:w="1142" w:type="dxa"/>
          </w:tcPr>
          <w:p>
            <w:pPr>
              <w:jc w:val="center"/>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37</w:t>
            </w:r>
          </w:p>
        </w:tc>
        <w:tc>
          <w:tcPr>
            <w:tcW w:w="1497" w:type="dxa"/>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IP网络对讲终端</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jc w:val="center"/>
              <w:rPr>
                <w:rFonts w:ascii="宋体" w:hAnsi="宋体"/>
                <w:sz w:val="18"/>
                <w:szCs w:val="18"/>
              </w:rPr>
            </w:pPr>
            <w:r>
              <w:rPr>
                <w:rFonts w:ascii="宋体" w:hAnsi="宋体" w:hint="eastAsia"/>
                <w:sz w:val="18"/>
                <w:szCs w:val="18"/>
              </w:rPr>
              <w:t>台</w:t>
            </w:r>
          </w:p>
        </w:tc>
        <w:tc>
          <w:tcPr>
            <w:tcW w:w="1142" w:type="dxa"/>
          </w:tcPr>
          <w:p>
            <w:pPr>
              <w:spacing w:before="100" w:beforeAutospacing="1" w:after="100" w:afterAutospacing="1"/>
              <w:jc w:val="center"/>
              <w:outlineLvl w:val="1"/>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38</w:t>
            </w:r>
          </w:p>
        </w:tc>
        <w:tc>
          <w:tcPr>
            <w:tcW w:w="1497" w:type="dxa"/>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智慧班牌</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tcPr>
          <w:p>
            <w:pPr>
              <w:spacing w:before="100" w:beforeAutospacing="1" w:after="100" w:afterAutospacing="1"/>
              <w:jc w:val="center"/>
              <w:outlineLvl w:val="1"/>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39</w:t>
            </w:r>
          </w:p>
        </w:tc>
        <w:tc>
          <w:tcPr>
            <w:tcW w:w="1497" w:type="dxa"/>
            <w:shd w:val="clear" w:color="auto" w:fill="auto"/>
            <w:noWrap/>
            <w:vAlign w:val="center"/>
          </w:tcPr>
          <w:p>
            <w:pPr>
              <w:jc w:val="center"/>
              <w:rPr>
                <w:rFonts w:ascii="宋体" w:hAnsi="宋体"/>
                <w:sz w:val="18"/>
                <w:szCs w:val="18"/>
              </w:rPr>
            </w:pPr>
            <w:r>
              <w:rPr>
                <w:rFonts w:hint="eastAsia"/>
                <w:bCs/>
                <w:szCs w:val="21"/>
              </w:rPr>
              <w:t>PLAN-2023-440300000-103609-10626</w:t>
            </w:r>
          </w:p>
        </w:tc>
        <w:tc>
          <w:tcPr>
            <w:tcW w:w="2803" w:type="dxa"/>
            <w:shd w:val="clear" w:color="auto" w:fill="auto"/>
            <w:noWrap/>
            <w:vAlign w:val="center"/>
          </w:tcPr>
          <w:p>
            <w:pPr>
              <w:jc w:val="center"/>
              <w:rPr>
                <w:rFonts w:ascii="宋体" w:hAnsi="宋体"/>
                <w:sz w:val="18"/>
                <w:szCs w:val="18"/>
              </w:rPr>
            </w:pPr>
            <w:r>
              <w:rPr>
                <w:rFonts w:ascii="宋体" w:hAnsi="宋体" w:hint="eastAsia"/>
                <w:sz w:val="18"/>
                <w:szCs w:val="18"/>
              </w:rPr>
              <w:t>网络同步电子时钟</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块</w:t>
            </w:r>
          </w:p>
        </w:tc>
        <w:tc>
          <w:tcPr>
            <w:tcW w:w="1142" w:type="dxa"/>
          </w:tcPr>
          <w:p>
            <w:pPr>
              <w:spacing w:before="100" w:beforeAutospacing="1" w:after="100" w:afterAutospacing="1"/>
              <w:jc w:val="center"/>
              <w:outlineLvl w:val="1"/>
              <w:rPr>
                <w:rFonts w:ascii="宋体" w:hAnsi="宋体"/>
                <w:b/>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40</w:t>
            </w:r>
          </w:p>
        </w:tc>
        <w:tc>
          <w:tcPr>
            <w:tcW w:w="1497" w:type="dxa"/>
            <w:shd w:val="clear" w:color="auto" w:fill="auto"/>
            <w:noWrap/>
          </w:tcPr>
          <w:p>
            <w:pPr>
              <w:jc w:val="center"/>
              <w:rPr>
                <w:rFonts w:ascii="宋体" w:hAnsi="宋体"/>
                <w:sz w:val="18"/>
                <w:szCs w:val="18"/>
              </w:rPr>
            </w:pPr>
            <w:r>
              <w:rPr>
                <w:rFonts w:hint="eastAsia"/>
                <w:bCs/>
                <w:szCs w:val="21"/>
              </w:rPr>
              <w:t>PLAN-2023-440300000-103609-10626</w:t>
            </w:r>
          </w:p>
        </w:tc>
        <w:tc>
          <w:tcPr>
            <w:tcW w:w="2803" w:type="dxa"/>
            <w:shd w:val="clear" w:color="auto" w:fill="auto"/>
            <w:noWrap/>
          </w:tcPr>
          <w:p>
            <w:pPr>
              <w:jc w:val="center"/>
              <w:rPr>
                <w:rFonts w:ascii="宋体" w:hAnsi="宋体"/>
                <w:sz w:val="18"/>
                <w:szCs w:val="18"/>
              </w:rPr>
            </w:pPr>
            <w:r>
              <w:rPr>
                <w:rFonts w:ascii="宋体" w:hAnsi="宋体" w:hint="eastAsia"/>
                <w:sz w:val="18"/>
                <w:szCs w:val="18"/>
              </w:rPr>
              <w:t>IP网络音箱</w:t>
            </w:r>
          </w:p>
        </w:tc>
        <w:tc>
          <w:tcPr>
            <w:tcW w:w="808" w:type="dxa"/>
            <w:shd w:val="clear" w:color="auto" w:fill="auto"/>
            <w:noWrap/>
          </w:tcPr>
          <w:p>
            <w:pPr>
              <w:jc w:val="cente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tcPr>
          <w:p>
            <w:pPr>
              <w:spacing w:before="100" w:beforeAutospacing="1" w:after="100" w:afterAutospacing="1"/>
              <w:jc w:val="center"/>
              <w:outlineLvl w:val="1"/>
              <w:rPr>
                <w:rFonts w:ascii="宋体" w:hAnsi="宋体"/>
                <w:color w:val="FF0000"/>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41</w:t>
            </w:r>
          </w:p>
        </w:tc>
        <w:tc>
          <w:tcPr>
            <w:tcW w:w="1497" w:type="dxa"/>
            <w:vMerge w:val="restart"/>
            <w:shd w:val="clear" w:color="auto" w:fill="auto"/>
            <w:noWrap/>
          </w:tcPr>
          <w:p>
            <w:pPr>
              <w:jc w:val="center"/>
              <w:rPr>
                <w:bCs/>
                <w:szCs w:val="21"/>
              </w:rPr>
            </w:pPr>
          </w:p>
          <w:p>
            <w:pPr>
              <w:jc w:val="center"/>
              <w:rPr>
                <w:rFonts w:ascii="宋体" w:hAnsi="宋体"/>
                <w:sz w:val="18"/>
                <w:szCs w:val="18"/>
              </w:rPr>
            </w:pPr>
            <w:r>
              <w:rPr>
                <w:rFonts w:hint="eastAsia"/>
                <w:bCs/>
                <w:szCs w:val="21"/>
              </w:rPr>
              <w:t>PLAN-2023-440300000-103609-10626</w:t>
            </w:r>
          </w:p>
        </w:tc>
        <w:tc>
          <w:tcPr>
            <w:tcW w:w="2803" w:type="dxa"/>
            <w:shd w:val="clear" w:color="auto" w:fill="auto"/>
            <w:noWrap/>
          </w:tcPr>
          <w:p>
            <w:pPr>
              <w:jc w:val="center"/>
              <w:rPr>
                <w:rFonts w:ascii="宋体" w:hAnsi="宋体"/>
                <w:sz w:val="18"/>
                <w:szCs w:val="18"/>
              </w:rPr>
            </w:pPr>
            <w:r>
              <w:rPr>
                <w:rFonts w:ascii="宋体" w:hAnsi="宋体" w:hint="eastAsia"/>
                <w:sz w:val="18"/>
                <w:szCs w:val="18"/>
              </w:rPr>
              <w:t>互联黑板（一）</w:t>
            </w:r>
          </w:p>
        </w:tc>
        <w:tc>
          <w:tcPr>
            <w:tcW w:w="808" w:type="dxa"/>
            <w:shd w:val="clear" w:color="auto" w:fill="auto"/>
            <w:noWrap/>
          </w:tcPr>
          <w:p>
            <w:pPr>
              <w:jc w:val="center"/>
              <w:rPr>
                <w:rFonts w:ascii="宋体" w:hAnsi="宋体"/>
                <w:sz w:val="18"/>
                <w:szCs w:val="18"/>
              </w:rPr>
            </w:pPr>
            <w:r>
              <w:rPr>
                <w:rFonts w:ascii="宋体" w:hAnsi="宋体" w:hint="eastAsia"/>
                <w:sz w:val="18"/>
                <w:szCs w:val="18"/>
              </w:rPr>
              <w:t>3</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val="restart"/>
          </w:tcPr>
          <w:p>
            <w:pPr>
              <w:jc w:val="center"/>
              <w:rPr>
                <w:szCs w:val="21"/>
              </w:rPr>
            </w:pPr>
          </w:p>
          <w:p>
            <w:pPr>
              <w:jc w:val="center"/>
              <w:rPr>
                <w:szCs w:val="21"/>
              </w:rPr>
            </w:pPr>
          </w:p>
          <w:p>
            <w:pPr>
              <w:jc w:val="center"/>
              <w:rPr>
                <w:rFonts w:ascii="宋体" w:hAnsi="宋体"/>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42</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互联黑板（二）</w:t>
            </w:r>
          </w:p>
        </w:tc>
        <w:tc>
          <w:tcPr>
            <w:tcW w:w="808" w:type="dxa"/>
            <w:shd w:val="clear" w:color="auto" w:fill="auto"/>
            <w:noWrap/>
          </w:tcPr>
          <w:p>
            <w:pPr>
              <w:jc w:val="center"/>
              <w:rPr>
                <w:rFonts w:ascii="宋体" w:hAnsi="宋体"/>
                <w:sz w:val="18"/>
                <w:szCs w:val="18"/>
              </w:rPr>
            </w:pPr>
            <w:r>
              <w:rPr>
                <w:rFonts w:ascii="宋体" w:hAnsi="宋体" w:hint="eastAsia"/>
                <w:sz w:val="18"/>
                <w:szCs w:val="18"/>
              </w:rPr>
              <w:t>6</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套</w:t>
            </w:r>
          </w:p>
        </w:tc>
        <w:tc>
          <w:tcPr>
            <w:tcW w:w="1142" w:type="dxa"/>
            <w:vMerge/>
          </w:tcPr>
          <w:p>
            <w:pPr>
              <w:jc w:val="center"/>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43</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sz w:val="18"/>
                <w:szCs w:val="18"/>
              </w:rPr>
            </w:pPr>
            <w:r>
              <w:rPr>
                <w:rFonts w:ascii="宋体" w:hAnsi="宋体" w:hint="eastAsia"/>
                <w:sz w:val="18"/>
                <w:szCs w:val="18"/>
              </w:rPr>
              <w:t>讲台</w:t>
            </w:r>
          </w:p>
        </w:tc>
        <w:tc>
          <w:tcPr>
            <w:tcW w:w="808" w:type="dxa"/>
            <w:shd w:val="clear" w:color="auto" w:fill="auto"/>
            <w:noWrap/>
          </w:tcPr>
          <w:p>
            <w:pPr>
              <w:jc w:val="center"/>
              <w:rPr>
                <w:rFonts w:ascii="宋体" w:hAnsi="宋体"/>
                <w:sz w:val="18"/>
                <w:szCs w:val="18"/>
              </w:rPr>
            </w:pPr>
            <w:r>
              <w:rPr>
                <w:rFonts w:ascii="宋体" w:hAnsi="宋体" w:hint="eastAsia"/>
                <w:sz w:val="18"/>
                <w:szCs w:val="18"/>
              </w:rPr>
              <w:t>9</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sz w:val="18"/>
                <w:szCs w:val="18"/>
              </w:rPr>
              <w:t>台</w:t>
            </w:r>
          </w:p>
        </w:tc>
        <w:tc>
          <w:tcPr>
            <w:tcW w:w="1142" w:type="dxa"/>
            <w:vMerge/>
          </w:tcPr>
          <w:p>
            <w:pPr>
              <w:jc w:val="center"/>
              <w:rPr>
                <w:rFonts w:ascii="宋体" w:hAnsi="宋体"/>
                <w:sz w:val="18"/>
                <w:szCs w:val="18"/>
              </w:rPr>
            </w:pP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44</w:t>
            </w:r>
          </w:p>
        </w:tc>
        <w:tc>
          <w:tcPr>
            <w:tcW w:w="1497" w:type="dxa"/>
            <w:vMerge w:val="restart"/>
            <w:shd w:val="clear" w:color="auto" w:fill="auto"/>
            <w:noWrap/>
          </w:tcPr>
          <w:p>
            <w:pPr>
              <w:jc w:val="center"/>
              <w:rPr>
                <w:rFonts w:ascii="宋体" w:hAnsi="宋体"/>
                <w:sz w:val="18"/>
                <w:szCs w:val="18"/>
              </w:rPr>
            </w:pPr>
            <w:r>
              <w:rPr>
                <w:rFonts w:hint="eastAsia"/>
                <w:bCs/>
                <w:szCs w:val="21"/>
              </w:rPr>
              <w:t>PLAN-2023-440300000-103609-10626</w:t>
            </w:r>
          </w:p>
        </w:tc>
        <w:tc>
          <w:tcPr>
            <w:tcW w:w="2803" w:type="dxa"/>
            <w:shd w:val="clear" w:color="auto" w:fill="auto"/>
            <w:noWrap/>
          </w:tcPr>
          <w:p>
            <w:pPr>
              <w:jc w:val="center"/>
              <w:rPr>
                <w:rFonts w:ascii="宋体" w:hAnsi="宋体"/>
                <w:sz w:val="18"/>
                <w:szCs w:val="18"/>
              </w:rPr>
            </w:pPr>
            <w:r>
              <w:rPr>
                <w:rFonts w:ascii="宋体" w:hAnsi="宋体" w:hint="eastAsia"/>
                <w:sz w:val="18"/>
                <w:szCs w:val="18"/>
              </w:rPr>
              <w:t>管线</w:t>
            </w:r>
          </w:p>
        </w:tc>
        <w:tc>
          <w:tcPr>
            <w:tcW w:w="808" w:type="dxa"/>
            <w:shd w:val="clear" w:color="auto" w:fill="auto"/>
            <w:noWrap/>
          </w:tcPr>
          <w:p>
            <w:pPr>
              <w:jc w:val="center"/>
              <w:rPr>
                <w:rFonts w:ascii="宋体" w:hAnsi="宋体"/>
                <w:sz w:val="18"/>
                <w:szCs w:val="18"/>
              </w:rPr>
            </w:pPr>
            <w:r>
              <w:rPr>
                <w:rFonts w:ascii="宋体" w:hAnsi="宋体" w:hint="eastAsia"/>
                <w:sz w:val="18"/>
                <w:szCs w:val="18"/>
              </w:rPr>
              <w:t>1</w:t>
            </w:r>
          </w:p>
        </w:tc>
        <w:tc>
          <w:tcPr>
            <w:tcW w:w="799" w:type="dxa"/>
            <w:shd w:val="clear" w:color="auto" w:fill="auto"/>
            <w:noWrap/>
          </w:tcPr>
          <w:p>
            <w:pPr>
              <w:spacing w:before="100" w:beforeAutospacing="1" w:after="100" w:afterAutospacing="1"/>
              <w:jc w:val="center"/>
              <w:outlineLvl w:val="1"/>
              <w:rPr>
                <w:rFonts w:ascii="宋体" w:hAnsi="宋体"/>
                <w:sz w:val="18"/>
                <w:szCs w:val="18"/>
              </w:rPr>
            </w:pPr>
            <w:r>
              <w:rPr>
                <w:rFonts w:ascii="宋体" w:hAnsi="宋体" w:hint="eastAsia"/>
                <w:sz w:val="18"/>
                <w:szCs w:val="18"/>
              </w:rPr>
              <w:t>批</w:t>
            </w:r>
          </w:p>
        </w:tc>
        <w:tc>
          <w:tcPr>
            <w:tcW w:w="1142" w:type="dxa"/>
            <w:vMerge w:val="restart"/>
          </w:tcPr>
          <w:p>
            <w:pPr>
              <w:jc w:val="center"/>
              <w:rPr>
                <w:szCs w:val="21"/>
              </w:rPr>
            </w:pPr>
          </w:p>
          <w:p>
            <w:pPr>
              <w:jc w:val="center"/>
              <w:rPr>
                <w:rFonts w:ascii="宋体" w:hAnsi="宋体"/>
                <w:sz w:val="18"/>
                <w:szCs w:val="18"/>
              </w:rPr>
            </w:pPr>
            <w:r>
              <w:rPr>
                <w:rFonts w:hint="eastAsia"/>
                <w:szCs w:val="21"/>
              </w:rPr>
              <w:t>拒绝进口</w:t>
            </w:r>
          </w:p>
        </w:tc>
      </w:tr>
      <w:tr>
        <w:tblPrEx>
          <w:tblW w:w="7705" w:type="dxa"/>
          <w:jc w:val="center"/>
          <w:tblLayout w:type="fixed"/>
          <w:tblCellMar>
            <w:top w:w="0" w:type="dxa"/>
            <w:left w:w="108" w:type="dxa"/>
            <w:bottom w:w="0" w:type="dxa"/>
            <w:right w:w="108" w:type="dxa"/>
          </w:tblCellMar>
        </w:tblPrEx>
        <w:trPr>
          <w:trHeight w:val="402"/>
          <w:jc w:val="center"/>
        </w:trPr>
        <w:tc>
          <w:tcPr>
            <w:tcW w:w="656" w:type="dxa"/>
            <w:shd w:val="clear" w:color="auto" w:fill="auto"/>
            <w:noWrap/>
          </w:tcPr>
          <w:p>
            <w:pPr>
              <w:jc w:val="center"/>
              <w:rPr>
                <w:rFonts w:ascii="宋体" w:hAnsi="宋体"/>
                <w:sz w:val="18"/>
                <w:szCs w:val="18"/>
              </w:rPr>
            </w:pPr>
            <w:r>
              <w:rPr>
                <w:rFonts w:ascii="宋体" w:hAnsi="宋体" w:hint="eastAsia"/>
                <w:sz w:val="18"/>
                <w:szCs w:val="18"/>
              </w:rPr>
              <w:t>45</w:t>
            </w:r>
          </w:p>
        </w:tc>
        <w:tc>
          <w:tcPr>
            <w:tcW w:w="1497" w:type="dxa"/>
            <w:vMerge/>
            <w:shd w:val="clear" w:color="auto" w:fill="auto"/>
            <w:noWrap/>
          </w:tcPr>
          <w:p>
            <w:pPr>
              <w:jc w:val="center"/>
              <w:rPr>
                <w:rFonts w:ascii="宋体" w:hAnsi="宋体"/>
                <w:sz w:val="18"/>
                <w:szCs w:val="18"/>
              </w:rPr>
            </w:pPr>
          </w:p>
        </w:tc>
        <w:tc>
          <w:tcPr>
            <w:tcW w:w="2803" w:type="dxa"/>
            <w:shd w:val="clear" w:color="auto" w:fill="auto"/>
            <w:noWrap/>
          </w:tcPr>
          <w:p>
            <w:pPr>
              <w:jc w:val="center"/>
              <w:rPr>
                <w:rFonts w:ascii="宋体" w:hAnsi="宋体"/>
                <w:color w:val="FF0000"/>
                <w:sz w:val="18"/>
                <w:szCs w:val="18"/>
              </w:rPr>
            </w:pPr>
            <w:r>
              <w:rPr>
                <w:rFonts w:ascii="宋体" w:hAnsi="宋体" w:hint="eastAsia"/>
                <w:sz w:val="18"/>
                <w:szCs w:val="18"/>
              </w:rPr>
              <w:t>系统集成和调试</w:t>
            </w:r>
          </w:p>
        </w:tc>
        <w:tc>
          <w:tcPr>
            <w:tcW w:w="808" w:type="dxa"/>
            <w:shd w:val="clear" w:color="auto" w:fill="auto"/>
            <w:noWrap/>
          </w:tcPr>
          <w:p>
            <w:pPr>
              <w:jc w:val="center"/>
              <w:rPr>
                <w:rFonts w:ascii="宋体" w:hAnsi="宋体"/>
                <w:sz w:val="18"/>
                <w:szCs w:val="18"/>
              </w:rPr>
            </w:pPr>
            <w:r>
              <w:rPr>
                <w:rFonts w:ascii="宋体" w:hAnsi="宋体" w:hint="eastAsia"/>
                <w:sz w:val="18"/>
                <w:szCs w:val="18"/>
              </w:rPr>
              <w:t>1</w:t>
            </w:r>
          </w:p>
        </w:tc>
        <w:tc>
          <w:tcPr>
            <w:tcW w:w="799" w:type="dxa"/>
            <w:shd w:val="clear" w:color="auto" w:fill="auto"/>
            <w:noWrap/>
          </w:tcPr>
          <w:p>
            <w:pPr>
              <w:jc w:val="center"/>
              <w:rPr>
                <w:rFonts w:ascii="宋体" w:hAnsi="宋体"/>
                <w:sz w:val="18"/>
                <w:szCs w:val="18"/>
              </w:rPr>
            </w:pPr>
            <w:r>
              <w:rPr>
                <w:rFonts w:ascii="宋体" w:hAnsi="宋体" w:hint="eastAsia"/>
                <w:sz w:val="18"/>
                <w:szCs w:val="18"/>
              </w:rPr>
              <w:t>批</w:t>
            </w:r>
          </w:p>
        </w:tc>
        <w:tc>
          <w:tcPr>
            <w:tcW w:w="1142" w:type="dxa"/>
            <w:vMerge/>
          </w:tcPr>
          <w:p>
            <w:pPr>
              <w:jc w:val="center"/>
              <w:rPr>
                <w:rFonts w:ascii="宋体" w:hAnsi="宋体"/>
                <w:sz w:val="18"/>
                <w:szCs w:val="18"/>
              </w:rPr>
            </w:pPr>
          </w:p>
        </w:tc>
      </w:tr>
    </w:tbl>
    <w:p>
      <w:pPr>
        <w:pStyle w:val="BodyText"/>
      </w:pPr>
    </w:p>
    <w:p>
      <w:pPr>
        <w:ind w:firstLine="420" w:firstLineChars="200"/>
        <w:rPr>
          <w:rFonts w:ascii="宋体" w:hAnsi="宋体"/>
          <w:b/>
          <w:color w:val="FF0000"/>
          <w:szCs w:val="21"/>
        </w:rPr>
      </w:pPr>
    </w:p>
    <w:p>
      <w:pPr>
        <w:ind w:firstLine="420" w:firstLineChars="200"/>
        <w:rPr>
          <w:rFonts w:ascii="宋体" w:hAnsi="宋体"/>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pPr>
        <w:ind w:firstLine="420" w:firstLineChars="200"/>
        <w:rPr>
          <w:rFonts w:ascii="宋体" w:hAnsi="宋体"/>
          <w:b/>
          <w:color w:val="FF0000"/>
          <w:szCs w:val="21"/>
        </w:rPr>
      </w:pPr>
      <w:r>
        <w:rPr>
          <w:rFonts w:ascii="宋体" w:hAnsi="宋体" w:hint="eastAsia"/>
          <w:b/>
          <w:color w:val="FF0000"/>
          <w:szCs w:val="21"/>
        </w:rPr>
        <w:t>2、进口产品，是指通过中国海关保管验收放进入中国境内且产自关境外的产品，具体以财政部《政府采购进口产品管理办法》（财库[2007]119号）和财政部办公厅《关于政府采购进口产品管理有关问题的通知》（财办库[2008]248号）的有关规定为准。</w:t>
      </w:r>
    </w:p>
    <w:p>
      <w:pPr>
        <w:ind w:firstLine="420" w:firstLineChars="200"/>
        <w:rPr>
          <w:rFonts w:ascii="宋体" w:hAnsi="宋体"/>
          <w:b/>
          <w:color w:val="FF0000"/>
          <w:szCs w:val="21"/>
        </w:rPr>
      </w:pPr>
      <w:r>
        <w:rPr>
          <w:rFonts w:ascii="宋体" w:hAnsi="宋体" w:hint="eastAsia"/>
          <w:b/>
          <w:color w:val="FF0000"/>
          <w:szCs w:val="21"/>
        </w:rPr>
        <w:t>3、本项目核心产品为：</w:t>
      </w:r>
      <w:r>
        <w:rPr>
          <w:rFonts w:ascii="宋体" w:hAnsi="宋体" w:hint="eastAsia"/>
          <w:b/>
          <w:color w:val="FF0000"/>
          <w:szCs w:val="21"/>
          <w:u w:val="single"/>
        </w:rPr>
        <w:t>高清激光投影机（序号1）</w:t>
      </w:r>
      <w:r>
        <w:rPr>
          <w:rFonts w:ascii="宋体" w:hAnsi="宋体" w:hint="eastAsia"/>
          <w:b/>
          <w:color w:val="FF0000"/>
          <w:szCs w:val="21"/>
        </w:rPr>
        <w:t>。</w:t>
      </w:r>
    </w:p>
    <w:p>
      <w:pPr>
        <w:rPr>
          <w:rFonts w:ascii="宋体" w:hAnsi="宋体"/>
          <w:b/>
          <w:color w:val="FF0000"/>
          <w:szCs w:val="21"/>
        </w:rPr>
      </w:pPr>
      <w:bookmarkEnd w:id="41"/>
    </w:p>
    <w:p>
      <w:pPr>
        <w:pStyle w:val="Heading2"/>
        <w:spacing w:before="120" w:beforeLines="50" w:after="120" w:afterLines="50"/>
        <w:rPr>
          <w:sz w:val="28"/>
          <w:szCs w:val="28"/>
        </w:rPr>
      </w:pPr>
      <w:bookmarkStart w:id="43" w:name="_Toc128884461"/>
      <w:r>
        <w:rPr>
          <w:rFonts w:hint="eastAsia"/>
          <w:sz w:val="28"/>
          <w:szCs w:val="28"/>
        </w:rPr>
        <w:t>三、实质性条款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trPr>
        <w:tc>
          <w:tcPr>
            <w:tcW w:w="70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序号</w:t>
            </w:r>
          </w:p>
        </w:tc>
        <w:tc>
          <w:tcPr>
            <w:tcW w:w="7483"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r>
      <w:tr>
        <w:tblPrEx>
          <w:tblW w:w="8188" w:type="dxa"/>
          <w:tblInd w:w="0" w:type="dxa"/>
          <w:tblLayout w:type="fixed"/>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ascii="宋体" w:hAnsi="宋体" w:hint="eastAsia"/>
                <w:kern w:val="0"/>
                <w:szCs w:val="21"/>
              </w:rPr>
              <w:t>1</w:t>
            </w:r>
          </w:p>
        </w:tc>
        <w:tc>
          <w:tcPr>
            <w:tcW w:w="7483" w:type="dxa"/>
          </w:tcPr>
          <w:p>
            <w:pPr>
              <w:adjustRightInd w:val="0"/>
              <w:snapToGrid w:val="0"/>
              <w:spacing w:line="360" w:lineRule="auto"/>
              <w:rPr>
                <w:rFonts w:hAnsi="宋体"/>
                <w:kern w:val="0"/>
                <w:szCs w:val="21"/>
              </w:rPr>
            </w:pPr>
            <w:r>
              <w:rPr>
                <w:rFonts w:hAnsi="宋体" w:hint="eastAsia"/>
                <w:kern w:val="0"/>
                <w:szCs w:val="21"/>
              </w:rPr>
              <w:t>满足本项目标★的条款要求</w:t>
            </w:r>
          </w:p>
        </w:tc>
      </w:tr>
    </w:tbl>
    <w:p>
      <w:pPr>
        <w:rPr>
          <w:sz w:val="22"/>
        </w:rPr>
      </w:pPr>
      <w:bookmarkEnd w:id="43"/>
      <w:r>
        <w:rPr>
          <w:rFonts w:hint="eastAsia"/>
          <w:sz w:val="22"/>
        </w:rPr>
        <w:t>注：上表所列内容为不可负偏离条款，负偏离将视为未实质性满足招标文件要求和条件作投标无效处理。</w:t>
      </w:r>
    </w:p>
    <w:p>
      <w:pPr>
        <w:rPr>
          <w:b/>
          <w:szCs w:val="21"/>
        </w:rPr>
      </w:pPr>
    </w:p>
    <w:p>
      <w:pPr>
        <w:pStyle w:val="Heading2"/>
        <w:spacing w:before="120" w:beforeLines="50" w:after="120" w:afterLines="50"/>
        <w:rPr>
          <w:sz w:val="28"/>
          <w:szCs w:val="28"/>
        </w:rPr>
      </w:pPr>
      <w:r>
        <w:rPr>
          <w:rFonts w:hint="eastAsia"/>
          <w:sz w:val="28"/>
          <w:szCs w:val="28"/>
        </w:rPr>
        <w:t>四、技术要求</w:t>
      </w:r>
    </w:p>
    <w:p>
      <w:pPr>
        <w:ind w:firstLine="420" w:firstLineChars="200"/>
        <w:rPr>
          <w:b/>
        </w:rPr>
      </w:pPr>
      <w:r>
        <w:rPr>
          <w:rFonts w:hint="eastAsia"/>
          <w:b/>
          <w:szCs w:val="21"/>
        </w:rPr>
        <w:t>说明：</w:t>
      </w:r>
      <w:r>
        <w:rPr>
          <w:b/>
        </w:rPr>
        <w:t>1</w:t>
      </w:r>
      <w:r>
        <w:rPr>
          <w:rFonts w:hint="eastAsia"/>
          <w:b/>
        </w:rPr>
        <w:t>、评分时，如对一项招标技术要求（以划分框为准）中的内容存在两处（或以上）负偏离的，在评分时只作一项负偏离扣分。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”指标项为重要参数条款，负偏离时依相关评分准则内容作重点扣分处理。</w:t>
      </w:r>
    </w:p>
    <w:p>
      <w:pPr>
        <w:ind w:firstLine="420" w:firstLineChars="200"/>
        <w:rPr>
          <w:b/>
          <w:szCs w:val="21"/>
        </w:rPr>
      </w:pPr>
      <w:r>
        <w:rPr>
          <w:b/>
          <w:szCs w:val="21"/>
        </w:rPr>
        <w:t>3</w:t>
      </w:r>
      <w:r>
        <w:rPr>
          <w:rFonts w:hint="eastAsia"/>
          <w:b/>
          <w:szCs w:val="21"/>
        </w:rPr>
        <w:t>、</w:t>
      </w:r>
      <w:bookmarkStart w:id="44"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pPr>
        <w:ind w:firstLine="420" w:firstLineChars="200"/>
        <w:rPr>
          <w:rFonts w:hint="eastAsia"/>
          <w:b/>
          <w:color w:val="FF0000"/>
        </w:rPr>
      </w:pPr>
      <w:r>
        <w:rPr>
          <w:rFonts w:hint="eastAsia"/>
          <w:b/>
          <w:color w:val="FF0000"/>
        </w:rPr>
        <w:t>4</w:t>
      </w:r>
      <w:r>
        <w:rPr>
          <w:b/>
          <w:color w:val="FF0000"/>
        </w:rPr>
        <w:t>、涉及区间的参数，除特别注明以外，</w:t>
      </w:r>
      <w:bookmarkStart w:id="45" w:name="_Hlk75447406"/>
      <w:r>
        <w:rPr>
          <w:b/>
          <w:color w:val="FF0000"/>
        </w:rPr>
        <w:t>产品参数区间与招标要求不一致的均视为负偏离。</w:t>
      </w:r>
      <w:bookmarkEnd w:id="45"/>
      <w:r>
        <w:rPr>
          <w:rFonts w:hint="eastAsia"/>
          <w:b/>
          <w:color w:val="FF0000"/>
        </w:rPr>
        <w:t>例：区间要求为0-20ML,只要响应的不是“0-20ML”，如投标文件响应为 0-15ML 、0-21ML 、1-12ML 、 9-20ML 、6-21ML 、9ML等情形均视为负偏离。</w:t>
      </w:r>
    </w:p>
    <w:p>
      <w:pPr>
        <w:ind w:firstLine="420" w:firstLineChars="200"/>
        <w:rPr>
          <w:b/>
          <w:szCs w:val="21"/>
        </w:rPr>
      </w:pPr>
      <w:r>
        <w:rPr>
          <w:rFonts w:hint="eastAsia"/>
          <w:b/>
          <w:color w:val="FF0000"/>
          <w:lang w:val="en-US" w:eastAsia="zh-CN"/>
        </w:rPr>
        <w:t>5、</w:t>
      </w:r>
      <w:r>
        <w:rPr>
          <w:b/>
          <w:color w:val="FF0000"/>
        </w:rPr>
        <w:t>检验（检测）报告要求具有CMA、CNAS等标识的，若有材料证明相关检测事项不在实施该项检测的机构许可（认可）CMA、CNAS等资质范围内的，该检验（检测）报告视为不满足招标文件要求，作负偏离处理。</w:t>
      </w:r>
      <w:r>
        <w:rPr>
          <w:b/>
          <w:color w:val="FF0000"/>
        </w:rPr>
        <w:br/>
      </w:r>
      <w:r>
        <w:rPr>
          <w:rFonts w:hint="eastAsia"/>
          <w:b/>
          <w:color w:val="FF0000"/>
          <w:lang w:val="en-US" w:eastAsia="zh-CN"/>
        </w:rPr>
        <w:t xml:space="preserve">        6、</w:t>
      </w:r>
      <w:r>
        <w:rPr>
          <w:b/>
          <w:color w:val="FF0000"/>
        </w:rPr>
        <w:t>相关证明材料的产品名称与招标文件要求的名称不完全一致的，需提供为同种产品的说明；若名称不完全一致又未提供说明的，由评审委员会判定是否符合文件要求。</w:t>
      </w:r>
      <w:r>
        <w:rPr>
          <w:rFonts w:hint="eastAsia"/>
          <w:b/>
          <w:color w:val="FF0000"/>
          <w:lang w:val="en-US" w:eastAsia="zh-CN"/>
        </w:rPr>
        <w:t xml:space="preserve">       </w:t>
      </w:r>
      <w:bookmarkEnd w:id="44"/>
    </w:p>
    <w:tbl>
      <w:tblPr>
        <w:tblStyle w:val="TableNormal"/>
        <w:tblW w:w="8211" w:type="dxa"/>
        <w:tblInd w:w="93" w:type="dxa"/>
        <w:tblLayout w:type="fixed"/>
        <w:tblCellMar>
          <w:top w:w="0" w:type="dxa"/>
          <w:left w:w="108" w:type="dxa"/>
          <w:bottom w:w="0" w:type="dxa"/>
          <w:right w:w="108" w:type="dxa"/>
        </w:tblCellMar>
      </w:tblPr>
      <w:tblGrid>
        <w:gridCol w:w="638"/>
        <w:gridCol w:w="1148"/>
        <w:gridCol w:w="524"/>
        <w:gridCol w:w="5901"/>
      </w:tblGrid>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8" w:space="0" w:color="000000"/>
              <w:left w:val="single" w:sz="8" w:space="0" w:color="000000"/>
              <w:bottom w:val="nil"/>
              <w:right w:val="single" w:sz="8"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一、视频显示系统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高清激光投影机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1、▲亮度：≥7000流明，检测依据 ISO/IEC 21118:2020《Informationtechnology-0ffice equipment-Information to be included inspecification sheets for data projectors》; SJ/T 11346-2015《电子投影机测量方法》；提供</w:t>
            </w:r>
            <w:r>
              <w:rPr>
                <w:rFonts w:ascii="宋体" w:hAnsi="宋体" w:cs="宋体" w:hint="eastAsia"/>
                <w:b/>
                <w:bCs/>
                <w:color w:val="FF0000"/>
                <w:kern w:val="0"/>
                <w:szCs w:val="21"/>
                <w:lang w:val="en-US" w:eastAsia="zh-CN"/>
              </w:rPr>
              <w:t>2020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日至本项目投标截止日第三方检验检测机构出具的具有CMA和CNAS标识的检验（检测）报告扫描件，原件备查。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2、▲分辨率：≥WUXGA （1920 x 1200）；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3、投射比：≤1.4-2.2；</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4、显示宽高比：16：10或16：9；</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5、对比度：≥1000000:1；</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6、▲显示技术：3LCD；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7、电动镜头位移：≥±55%（垂直），≥±25%（水平）；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8、输入接口：≥HDMI×1、DVI-D×1、HDBaseT×1、VGA×1、RS-232C×1，RJ45×1；</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9、光源寿命：≥20000小时；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幕布</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1、类型：电动幕布；</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2、尺寸：150英寸；</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3、幕基：白塑幕或玻珠；</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4、显示比例≥16：9</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超短焦激光投影机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1、▲亮度：≥5000LM；检测依据 ISO/IEC 21118:2020《Informationtechnology-0ffice equipment-Information to be included inspecification sheets for data projectors》; SJ/T 11346-2015《电子投影机测量方法》；提供20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日至本项目投标截止日第三方检验检测机构出具的具有CMA和CNAS标识的检验（检测）报告扫描件，原件备查。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2、▲分辨率：≥1920 x 1080；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3、显示宽高比：16：10或16：9；</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4、对比度：≥1000000:1；</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5、显示技术：LCD；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6、投射比：≤0.28；</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7、输入接口：≥HDMI×2，HDBaseT×1，VGA×2、RS-232C×1，RJ45×1；</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8、光源寿命：≥20000小时；</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交互式触控投影屏幕（100寸）</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1、同时具备投影幕（影像承载）和电磁式电子白板（电子书写）功能；高清漫反射投影幕布，反射增益≥1.0，可视角≥150°，防水，防刮，耐书写，无光斑；</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2、▲采用双层技术；采用双层独立拉簧安装工艺，感应层采用柔性可卷线路工艺制作；</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3、定位技术：电磁感应技术；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4、书写尺寸：书写尺寸≥100英寸（长度≥2210mm*宽度≥1250mm）,屏幕比例16:9；</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5、外观尺寸：长度≥2340mm*宽度≥1380mm；</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6、▲书写参数：采样点数≥250点/秒，识别精度≤3mm，反应灵敏无丢笔、跳笔、低延时，异物检测功能，不会造成任何误操作；</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7、响应时间：≤4ms；坐标校准：6点、9点、12点，三种多点校准方式；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8、操作系统：Windows XP /Windows2000/ Windows 7/ Windows 10；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9、传输方式：USB2.0+2.4G RF；</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10、传输距离：有效传输距离≥20米；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11、供电方式： USB供电，无需单独电源；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12、边框设计：铝合金材质+表面静电植绒；</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13、书写配件：多功能电磁书写笔2支（带智能锁、无线充电、电磁书写、PPT翻页功能）；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14、扩展书写：弯头电磁教鞭1支（带智能锁、无线充电、激光指示、PPT翻页、电磁书写功能）；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15、处理器：信号处理器≥1块（可拆卸式）；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16、配件管理：智能锁充电座≥1个（带智能锁，带无线充电功能）；</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交互式触控投影屏幕（120寸）</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1、▲同时具备投影幕（影像承载）和电磁式电子白板（电子书写）功能；高清漫反射投影幕布，反射增益≥1.0，可视角≥150°，防水，防刮，耐书写，无光斑；</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2、采用双层技术；采用双层独立拉簧安装工艺，感应层采用柔性可卷线路工艺制作；</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3、▲定位技术：电磁感应技术；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4、书写尺寸：书写尺寸≥120英寸（长度≥2660mm*宽度≥1500mm）</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5、屏幕比例16:9；</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6、外观尺寸：长度≥2790mm*宽度≥1630mm；</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7、书写参数：采样点数≥250点/秒，识别精度≤3mm，反应灵敏无丢笔、跳笔、低延时，异物检测功能，不会造成任何误操作；</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8、响应时间：≤4ms；坐标校准：6点、9点、12点，三种多点校准方式；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9、操作系统：Windows XP /Windows2000/ Windows 7/ Windows 10；传输方式：USB2.0+2.4G RF；</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10、传输距离：有效传输距离≥20米；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11、供电方式： USB供电，无需单独电源；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12、边框设计：铝合金材质+表面静电植绒；</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13、书写配件：多功能电磁书写笔2支（带智能锁、无线充电、电磁书写、PPT翻页功能）；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14、扩展书写：弯头电磁教鞭1支（带智能锁、无线充电、激光指示、PPT翻页、电磁书写功能）；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15、处理器：信号处理器≥1块（可拆卸式）；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16、配件管理：智能锁充电座≥1个（带智能锁，带无线充电功能）；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学生交互教学终端</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1、尺寸≥65英寸，采用不低于A+规屏；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2、分辨率≥3840*2160；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3、显示比例16:9；；</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4、触摸屏采用红外感应技术，在双系统下均支持不少于20点触控，触摸分辨率≥32768（W）*32768（D）；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5、屏幕表面采用 3.2mm 厚防眩光钢化玻璃，透光率不低于 88%，表面硬度不低于莫氏 7 级。屏体采用防蓝光设计；</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6、设置windows模式后，开机可直接进行windows操作系统，方便教学中单一系统直接操作。；</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7、触摸屏嵌入式Android操作系统下，内置互动白板书写完成后须支持本地保存、邮件分享、微信等主流应用扫码带走功能，方便老师实时保存课堂书写内容；</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8、通过产品前面板独立物理按钮可实现唤醒、开机功能；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9、为方便日常教学投屏使用，须支持多种投屏方式，须包括但不限于 APP 投屏、手机下拉菜单软投屏等方式；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10、触摸屏内置安卓系统，CPU采用四核，ROM≥32GB，RAM≥4GB，系统版本不低于9.0，支持在线升级；</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11、支持在无外接OPS电脑状态下，嵌入式Android操作系统下可实现windows系统中常用的教学应用功能，如白板书写、WPS软件使用、网页浏览、图片浏览、视频播放；</w:t>
            </w:r>
          </w:p>
        </w:tc>
      </w:tr>
      <w:tr>
        <w:tblPrEx>
          <w:tblW w:w="8211" w:type="dxa"/>
          <w:tblInd w:w="93" w:type="dxa"/>
          <w:tblLayout w:type="fixed"/>
          <w:tblCellMar>
            <w:top w:w="0" w:type="dxa"/>
            <w:left w:w="108" w:type="dxa"/>
            <w:bottom w:w="0" w:type="dxa"/>
            <w:right w:w="108" w:type="dxa"/>
          </w:tblCellMar>
        </w:tblPrEx>
        <w:trPr>
          <w:trHeight w:val="765"/>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highlight w:val="none"/>
              </w:rPr>
              <w:t>12、▲在不同光照环境下，终端能感应并自动调节屏幕不同亮度的显示效果；须支持断点续传功能，终端升级过程中发生网络中断、断电重启，恢复后可断点续传，避免升级失败。提供20</w:t>
            </w:r>
            <w:r>
              <w:rPr>
                <w:rFonts w:ascii="宋体" w:hAnsi="宋体" w:cs="宋体" w:hint="eastAsia"/>
                <w:b/>
                <w:bCs/>
                <w:color w:val="FF0000"/>
                <w:kern w:val="0"/>
                <w:szCs w:val="21"/>
                <w:highlight w:val="none"/>
                <w:lang w:val="en-US" w:eastAsia="zh-CN"/>
              </w:rPr>
              <w:t>20</w:t>
            </w:r>
            <w:r>
              <w:rPr>
                <w:rFonts w:ascii="宋体" w:hAnsi="宋体" w:cs="宋体" w:hint="eastAsia"/>
                <w:b/>
                <w:bCs/>
                <w:color w:val="FF0000"/>
                <w:kern w:val="0"/>
                <w:szCs w:val="21"/>
                <w:highlight w:val="none"/>
              </w:rPr>
              <w:t>年</w:t>
            </w:r>
            <w:r>
              <w:rPr>
                <w:rFonts w:ascii="宋体" w:hAnsi="宋体" w:cs="宋体" w:hint="eastAsia"/>
                <w:b/>
                <w:bCs/>
                <w:color w:val="FF0000"/>
                <w:kern w:val="0"/>
                <w:szCs w:val="21"/>
                <w:highlight w:val="none"/>
                <w:lang w:val="en-US" w:eastAsia="zh-CN"/>
              </w:rPr>
              <w:t>1</w:t>
            </w:r>
            <w:r>
              <w:rPr>
                <w:rFonts w:ascii="宋体" w:hAnsi="宋体" w:cs="宋体" w:hint="eastAsia"/>
                <w:b/>
                <w:bCs/>
                <w:color w:val="FF0000"/>
                <w:kern w:val="0"/>
                <w:szCs w:val="21"/>
                <w:highlight w:val="none"/>
              </w:rPr>
              <w:t>月</w:t>
            </w:r>
            <w:r>
              <w:rPr>
                <w:rFonts w:ascii="宋体" w:hAnsi="宋体" w:cs="宋体" w:hint="eastAsia"/>
                <w:b/>
                <w:bCs/>
                <w:color w:val="FF0000"/>
                <w:kern w:val="0"/>
                <w:szCs w:val="21"/>
                <w:highlight w:val="none"/>
                <w:lang w:val="en-US" w:eastAsia="zh-CN"/>
              </w:rPr>
              <w:t>1</w:t>
            </w:r>
            <w:r>
              <w:rPr>
                <w:rFonts w:ascii="宋体" w:hAnsi="宋体" w:cs="宋体" w:hint="eastAsia"/>
                <w:b/>
                <w:bCs/>
                <w:color w:val="FF0000"/>
                <w:kern w:val="0"/>
                <w:szCs w:val="21"/>
                <w:highlight w:val="none"/>
              </w:rPr>
              <w:t>日至本项目投标截止日第三方检验检测机构出具检验（检测）报告扫描件，原件备查。</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kern w:val="0"/>
                <w:szCs w:val="21"/>
              </w:rPr>
              <w:t>★</w:t>
            </w:r>
            <w:r>
              <w:rPr>
                <w:rFonts w:ascii="宋体" w:hAnsi="宋体" w:cs="宋体" w:hint="eastAsia"/>
                <w:color w:val="000000"/>
                <w:kern w:val="0"/>
                <w:szCs w:val="21"/>
              </w:rPr>
              <w:t>插拔式OPS微型PC设计，CPU主频：≥2.3GHz，内存≥8GB，固态硬盘≥256G；支持WIFI无线网络，带RJ45接口100M/1000Mbs；</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14、前置面板需具有以下输入接口：≥1 路标准非转接 Type- c 接口、≥2 路双通道 USB3.0 接口；</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15、整机后置≥2 路 HDMI 输入接口、≥1 路 HDMI 输出接口、≥1 路 MIC 输入接口、≥1 路 MIC 输出接口、≥1 路 RJ45 接口、≥1 路 COM 接口、≥1 路 USB3.0 Type-A 接口、≥1 路 USB Type-B 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16、整机能感应并自动调节屏幕，来达到在不同光照环境下的不同亮度显示效果，此功能可自行开启或关闭。</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智能互动交互系统</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1、主讲端与听讲端各分组一键连接。主讲端与听讲端任意设置切换；</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2、支持广域网接入、并且支持RTSP协议高清摄像机接入；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3、分组画面预览：支持8分组的实时画面同时在主界面进行小窗口预览、点击预览窗口可放大显示；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4、分组画面展示：支持将任意端的展示画面调取、并进行同步展示、且支持同时调取两端的展示画面进行对比展示；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5、分组画面任意切换和调取、支持在调取的画面上进行批注；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6、支持在教学大屏端和小组端上对讨论内容进行批注、并可以将批注的书写过程同步到所有学生屏幕；</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7、可实现学生考勤：支持学生扫码签到、老师及管理人员可实时查看数据；</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8、课堂互动：支持抢答、抽答、弹幕等课中互动工具；</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9、无线投屏功能，兼容安卓、IOS、Windows系统，投屏分辨率:1080P；</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10、▲提供智能互动交互系统相关的软件著作权软件证书扫描件，原件备查</w:t>
            </w:r>
            <w:r>
              <w:rPr>
                <w:rFonts w:ascii="宋体" w:hAnsi="宋体" w:cs="宋体" w:hint="eastAsia"/>
                <w:color w:val="000000"/>
                <w:kern w:val="0"/>
                <w:szCs w:val="21"/>
              </w:rPr>
              <w:t>。</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教师电脑主机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1、CPU主频: ≥3GHz；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2、内存：≥8G；</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3、存储：≥1T+128G；</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4、显卡：≥1G独显。</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触控显示器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1、尺寸：≥23.8寸；</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2、类型：IPS屏；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3、触控：10点触控；</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4、接口：HDMI/VGA/DP/USB端口。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无线投屏器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1、无需安装任何软件，按连接分享按钮（USB连接），即可通过无线方式将演示内容即时分享到屏幕上；</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2、支持显示比例可调整，等比，4：3，16：9，16：10；          </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 Windows7/8/10 32位和64位，支持 Mac OSX 10.10/10.11/10.12和更高版本，支持Android 5.0和更高版本，支持iOS 9.0 和更高版本（Airplay镜像）；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4、支持Airplay与Mirocast协议；</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5、支持每秒帧数≥30帧；</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6、支持最高分辨率≥1080p；</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7、支持屏幕上同时显示≥4路视频信号源；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8、支持HDMI内嵌音频和3.5mm模拟新路音频输出；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9、支持传输范围≥60米；</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10、支持可选择的信道：2.4G≥11个，5G≥9个；11.HDMI接口≥1路，网络接口≥1路，3.5mm音频接口≥1路，USB接口≥2路。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11、与视频矩阵同一品牌。</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音视频采集卡</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1、支持USB3.0音视频采集，最高分辨率≥1920*1080P@60Hz；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2、SDI输入接口≥1路，3.5插头麦克风输入接口≥1路；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3、支持音频格式：Stereo/16-bit/48000HZ；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4、支持操作系统：Kylin/windows8/windows10/,MAC OS/Android；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5、★免驱动，即插即用；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视频传输器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1、支持分辨率:≥4K@30HZ、1920×1200@60Hz向下兼容；</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2、CAT5E\CAT6网线可以将HDMI信号传输1080P≥70米；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6、与视频矩阵同一品牌。</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视频矩阵</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1、支持≥16通道视频信号输入输出切换，视频矩阵接口采用插卡式模块化设计，视频接口单卡单路，子卡支持热插拔功能及单独电源管理；</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2、支持≥19.5Gbps数据速率的数字背板；支持HDMI2.0及HDCP 2.2向下兼容；最高支持分辨率≥4096*2160@60Hz 4:4:4 ；</w:t>
            </w:r>
          </w:p>
        </w:tc>
      </w:tr>
      <w:tr>
        <w:tblPrEx>
          <w:tblW w:w="8211" w:type="dxa"/>
          <w:tblInd w:w="93" w:type="dxa"/>
          <w:tblLayout w:type="fixed"/>
          <w:tblCellMar>
            <w:top w:w="0" w:type="dxa"/>
            <w:left w:w="108" w:type="dxa"/>
            <w:bottom w:w="0" w:type="dxa"/>
            <w:right w:w="108" w:type="dxa"/>
          </w:tblCellMar>
        </w:tblPrEx>
        <w:trPr>
          <w:trHeight w:val="765"/>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宋体"/>
                <w:b/>
                <w:bCs/>
                <w:color w:val="FF0000"/>
                <w:szCs w:val="21"/>
              </w:rPr>
            </w:pPr>
            <w:r>
              <w:rPr>
                <w:rFonts w:ascii="宋体" w:hAnsi="宋体" w:cs="宋体" w:hint="eastAsia"/>
                <w:b/>
                <w:bCs/>
                <w:color w:val="FF0000"/>
                <w:kern w:val="0"/>
                <w:szCs w:val="21"/>
              </w:rPr>
              <w:t>3、▲输入输出接口支持HDMI、HDBaseT、DVI、SDI、VGA、DP、光等格式，可根据需求灵活搭配输入输出接口；矩阵主机采用1+1冗余电源热备设计，冗余电源双备热备；电源切换时间≤20ms；电压抖动≤15V；提供20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日至本项目投标截止日第三方检验检测机构出具的（检测）报告扫描件，原件备查。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4、支持EDID管理，允许读取输出设备EDID或储存的EDID并应用到任意输入卡上，支持EDID上传、下载、备份；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5、所有卡槽通道支持独立电源管理，可将板卡单独供/断电，可手动和自动管理，节能环保延长板卡使用寿命；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6、矩阵主机支持≥5寸触摸屏，WEB主界面显示设备实时运行温度，实时显示当前设备输入输出及工作状态；</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7、内置音频矩阵功能，支持音频自由切换和音频加解嵌功能；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返看显示器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1、尺寸≥65寸；</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2、分辨率≥3840*2160；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3、刷新率≥60Hz；</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二、音频及扩声系统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b/>
                <w:bCs/>
                <w:color w:val="000000"/>
                <w:szCs w:val="21"/>
              </w:rPr>
            </w:pPr>
          </w:p>
        </w:tc>
        <w:tc>
          <w:tcPr>
            <w:tcW w:w="5901"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1372"/>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数字红外无线教学扩声系统主机</w:t>
            </w:r>
          </w:p>
        </w:tc>
        <w:tc>
          <w:tcPr>
            <w:tcW w:w="6425"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1、主机频响范围：优于110 Hz--20kHz，麦克风频响范围：100 Hz--20kHz；</w:t>
            </w:r>
          </w:p>
          <w:p>
            <w:pPr>
              <w:jc w:val="left"/>
              <w:textAlignment w:val="center"/>
              <w:rPr>
                <w:rFonts w:ascii="宋体" w:hAnsi="宋体" w:cs="宋体"/>
                <w:color w:val="000000"/>
                <w:szCs w:val="21"/>
              </w:rPr>
            </w:pPr>
            <w:r>
              <w:rPr>
                <w:rFonts w:ascii="宋体" w:hAnsi="宋体" w:cs="宋体" w:hint="eastAsia"/>
                <w:color w:val="000000"/>
                <w:kern w:val="0"/>
                <w:szCs w:val="21"/>
              </w:rPr>
              <w:t>注：若参数要求范围：优于110 Hz--20kHz。其中优于指超出110Hz～20KHz（低于110Hz的、高于20KHz的视为正偏离）的频带更宽，为正偏离。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2、信噪比：≥90 dBA；总谐波失真：≤0.05%；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3、具有≥2个RJ45接口用于接数字红外接收器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4、▲支持2只无线麦克风同时讲话；</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5、具有线路声音自动衰减功能设置，即麦克风有声音触发时，背景声音降低。；</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6、通过USB连接PC，支持数字音频输入输出，配合数字红外无线麦克风可实现PPT翻页功能；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7、支持话筒灵敏度、线路输入音量、高低音及智能校准等调节功能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8、内置高性能数字信号处理器（DSP），可对音频进行反馈抑制（AFC）和回声消除（AEC）</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9、线路输入（LINE IN）≥2路，线路输出（LINE OUT）≥2路；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10、LINE IN1可作为麦克风输入，并可提供幻象电源；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11、RS-232串口≥1路。</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12、不少于2路USB接口，1路USB口用于连接有线麦克风，另1路通过USB线连接到电脑实现无损音频传输或配合数字红外无线麦克风实现PPT翻页功能。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13、需具有音乐或语音选择模式、童锁设置及语言设置等功能。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数字红外接收器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1、dirATC数字红外音频传输及控制技术；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2、不受高频驱动光源干扰，可正常工作于阳光下的环境；</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3、可配2个数字红外无线麦克风；</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4、接收距离：≥25 m；覆盖面积：≥80-100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数字红外无线麦克风</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1、红外麦克风在不同教室之间使用，无需对频，即开即用，简单方便；</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2、不受高频驱动光源干扰，可正常工作于阳光下的环境；</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3、扩展性能强，支持外部音频输入（Ø 3.5 mm AUDIO IN），能够与其它音频设备（如MP3、手机等）组合。同时可支持外置3.5mm领夹麦输入；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4、支持多种使用方式：可手持、颈挂或置于上衣口袋；</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5、发射角度：垂直≥0°～90°，水平≥120°；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6、内置可充电锂电池，持续发言时间≥7小时；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7、需支持USB口充电（兼容手机充电器）或插入充电座充电；</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8、为了满足互动教学，无线麦克风需支持按住发言功能，即按键开启话筒，松开话筒即关闭；</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kern w:val="0"/>
                <w:szCs w:val="21"/>
              </w:rPr>
              <w:t>★</w:t>
            </w:r>
            <w:r>
              <w:rPr>
                <w:rFonts w:ascii="宋体" w:hAnsi="宋体" w:cs="宋体" w:hint="eastAsia"/>
                <w:color w:val="000000"/>
                <w:kern w:val="0"/>
                <w:szCs w:val="21"/>
              </w:rPr>
              <w:t>红外波长：≥870nm；</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10、麦克风类型：驻极体心形指向性；</w:t>
            </w:r>
          </w:p>
        </w:tc>
      </w:tr>
      <w:tr>
        <w:tblPrEx>
          <w:tblW w:w="8211"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11、频率响应：优于110Hz～20kHz；</w:t>
            </w:r>
          </w:p>
          <w:p>
            <w:pPr>
              <w:jc w:val="left"/>
              <w:textAlignment w:val="center"/>
              <w:rPr>
                <w:rFonts w:ascii="宋体" w:hAnsi="宋体" w:cs="宋体"/>
                <w:color w:val="000000"/>
                <w:szCs w:val="21"/>
              </w:rPr>
            </w:pPr>
            <w:r>
              <w:rPr>
                <w:rFonts w:ascii="宋体" w:hAnsi="宋体" w:cs="宋体" w:hint="eastAsia"/>
                <w:color w:val="000000"/>
                <w:kern w:val="0"/>
                <w:szCs w:val="21"/>
              </w:rPr>
              <w:t>注：若参数要求范围：优于110 Hz--20kHz。其中优于指超出110Hz～20KHz（低于110Hz的、高于20KHz的视为正偏离）的频带更宽，为正偏离。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12、信噪比：≥90 dBA；</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13、最大声压级：≥110 dB；</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全向麦克风</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1、内置全向性驻极体麦克风，拾取学生互动声音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2、声压级：≥125 dB（THD&lt;3%）</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3、频率响应：优于50 Hz-20kHz；</w:t>
            </w:r>
          </w:p>
          <w:p>
            <w:pPr>
              <w:widowControl/>
              <w:jc w:val="left"/>
              <w:textAlignment w:val="center"/>
              <w:rPr>
                <w:rFonts w:ascii="宋体" w:hAnsi="宋体" w:cs="宋体"/>
                <w:color w:val="000000"/>
                <w:szCs w:val="21"/>
              </w:rPr>
            </w:pPr>
            <w:r>
              <w:rPr>
                <w:rFonts w:ascii="宋体" w:hAnsi="宋体" w:cs="宋体" w:hint="eastAsia"/>
                <w:color w:val="000000"/>
                <w:kern w:val="0"/>
                <w:szCs w:val="21"/>
              </w:rPr>
              <w:t>注：若参数要求范围：优于50 Hz--20kHz。其中优于指超出50Hz～20KHz（低于50Hz的、高于20KHz的视为正偏离）的频带更宽，为正偏离。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4、信噪比：≥65 dBA</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5、总谐波失真：≤0.5%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6、拾音范围：半径不小于 5 m（中等环境噪声下）；半径不小于 8 m（安静环境下）</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有线麦克风</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1、可拆卸话筒杆，话筒杆长度可选；</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2、内置不少于2个无线麦克风充电位，可对无线麦克风进行充电；</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3、带1根音频线（USB接口）用于连接主机传输音频；</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4、具有1个USB接口，可使用适配器为充电座供电；</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5、麦克风类型：心型指向性驻极体；</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6、频率响应范围：优于85Hz - 20 kHz；</w:t>
            </w:r>
          </w:p>
          <w:p>
            <w:pPr>
              <w:widowControl/>
              <w:jc w:val="left"/>
              <w:textAlignment w:val="center"/>
              <w:rPr>
                <w:rFonts w:ascii="宋体" w:hAnsi="宋体" w:cs="宋体"/>
                <w:color w:val="000000"/>
                <w:szCs w:val="21"/>
              </w:rPr>
            </w:pPr>
            <w:r>
              <w:rPr>
                <w:rFonts w:ascii="宋体" w:hAnsi="宋体" w:cs="宋体" w:hint="eastAsia"/>
                <w:color w:val="000000"/>
                <w:kern w:val="0"/>
                <w:szCs w:val="21"/>
              </w:rPr>
              <w:t>注：若参数要求范围：优于85 Hz--20kHz。其中优于指超出85Hz～20KHz（低于85Hz的、高于20KHz的视为正偏离）的频带更宽，为正偏离。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7、最大声压级：≥110 dB (THD&lt;3%)；</w:t>
            </w:r>
          </w:p>
        </w:tc>
      </w:tr>
      <w:tr>
        <w:tblPrEx>
          <w:tblW w:w="8211" w:type="dxa"/>
          <w:tblInd w:w="93" w:type="dxa"/>
          <w:tblLayout w:type="fixed"/>
          <w:tblCellMar>
            <w:top w:w="0" w:type="dxa"/>
            <w:left w:w="108" w:type="dxa"/>
            <w:bottom w:w="0" w:type="dxa"/>
            <w:right w:w="108" w:type="dxa"/>
          </w:tblCellMar>
        </w:tblPrEx>
        <w:trPr>
          <w:trHeight w:val="765"/>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一进四出网口分路器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1、具有不少于1路输入、4路输出RJ45接口，用于扩展数字红外接收器数量。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数字音频功率放大器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1、▲输入接口：≥8路，凤凰平衡输入接口，支持话筒或线路输入，支持幻象供电；</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2、▲输出接口：≥8路，凤凰平衡输出接口；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3、功放功率输出：≥200W*2通道；输出阻抗：8Ω；</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4、前面板配置有音量调节功能和音频信号指示灯；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5、Ethernet 网络控制接口，支持电脑或者平板控制，支持第三方控制，支持RS-232、485及TCP/IP协议；</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6、输入通道DSP：所有通道都带前级话放、噪声门、反馈抑制器、高/低通滤波器、不少于16段参量均衡、压限器和延时器；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7、输出通道DSP：所有通道都带高/低通滤波器、不少于16段参量均衡、压限器和延时器；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8、内置机架式调音台，内置自动混音台，可设置衰减电平值，内置AEC回声消除器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9、场景预设：≥32个；</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10、权限密码：可设置权限、密码设置</w:t>
            </w:r>
          </w:p>
        </w:tc>
      </w:tr>
      <w:tr>
        <w:tblPrEx>
          <w:tblW w:w="8211"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11、频率响应： 优于20 Hz - 20 kHz(±1 dB)</w:t>
            </w:r>
          </w:p>
          <w:p>
            <w:pPr>
              <w:jc w:val="left"/>
              <w:textAlignment w:val="center"/>
              <w:rPr>
                <w:rFonts w:ascii="宋体" w:hAnsi="宋体" w:cs="宋体"/>
                <w:color w:val="000000"/>
                <w:szCs w:val="21"/>
              </w:rPr>
            </w:pPr>
            <w:r>
              <w:rPr>
                <w:rFonts w:ascii="宋体" w:hAnsi="宋体" w:cs="宋体" w:hint="eastAsia"/>
                <w:color w:val="000000"/>
                <w:kern w:val="0"/>
                <w:szCs w:val="21"/>
              </w:rPr>
              <w:t xml:space="preserve">注：若参数要求范围：优于20 Hz--20kHz。其中优于指超出20Hz～20KHz（低于20Hz的、高于20KHz的视为正偏离）的频带更宽，为正偏离。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12、总谐波失真(THD)： ＜0.005%（20 Hz‐20 kHz@ +4 dBu）</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13、动态范围： ≥112 dB；</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14、信道间串扰：≥50 dB/（20‐20 kHz）；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15、输入阻抗：＞10kΩ</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16、共模抑制比：＞70 dB@1 kHz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17、前置放大等效输入噪声（EIN）：＜‐123dBu；</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18、功放通道分离度：＞73dB</w:t>
            </w:r>
          </w:p>
        </w:tc>
      </w:tr>
      <w:tr>
        <w:tblPrEx>
          <w:tblW w:w="8211"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19、功放频率响应：优于20 Hz - 20 kHz(±0.5dB)</w:t>
            </w:r>
          </w:p>
          <w:p>
            <w:pPr>
              <w:jc w:val="left"/>
              <w:textAlignment w:val="center"/>
              <w:rPr>
                <w:rFonts w:ascii="宋体" w:hAnsi="宋体" w:cs="宋体"/>
                <w:color w:val="000000"/>
                <w:szCs w:val="21"/>
              </w:rPr>
            </w:pPr>
            <w:r>
              <w:rPr>
                <w:rFonts w:ascii="宋体" w:hAnsi="宋体" w:cs="宋体" w:hint="eastAsia"/>
                <w:color w:val="000000"/>
                <w:kern w:val="0"/>
                <w:szCs w:val="21"/>
              </w:rPr>
              <w:t xml:space="preserve">注：若参数要求范围：优于20 Hz--20kHz。其中优于指超出20Hz～20KHz（低于20Hz的、高于20KHz的视为正偏离）的频带更宽，为正偏离。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20、功放总谐波失真：≤0.7%</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扬声器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1、类型：线性阵列音柱，内置不少于4个≥3英寸喇叭单元；</w:t>
            </w:r>
          </w:p>
        </w:tc>
      </w:tr>
      <w:tr>
        <w:tblPrEx>
          <w:tblW w:w="8211" w:type="dxa"/>
          <w:tblInd w:w="93" w:type="dxa"/>
          <w:tblLayout w:type="fixed"/>
          <w:tblCellMar>
            <w:top w:w="0" w:type="dxa"/>
            <w:left w:w="108" w:type="dxa"/>
            <w:bottom w:w="0" w:type="dxa"/>
            <w:right w:w="108" w:type="dxa"/>
          </w:tblCellMar>
        </w:tblPrEx>
        <w:trPr>
          <w:trHeight w:val="392"/>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2、频率范围：优于70Hz - 20 KHz（-10 dB）；</w:t>
            </w:r>
          </w:p>
          <w:p>
            <w:pPr>
              <w:jc w:val="left"/>
              <w:textAlignment w:val="center"/>
            </w:pPr>
            <w:r>
              <w:rPr>
                <w:rFonts w:ascii="宋体" w:hAnsi="宋体" w:cs="宋体" w:hint="eastAsia"/>
                <w:color w:val="000000"/>
                <w:kern w:val="0"/>
                <w:szCs w:val="21"/>
              </w:rPr>
              <w:t>注：若参数要求范围：优于70 Hz--20kHz。其中优于指超出70Hz～20KHz（低于70Hz的、高于20KHz的视为正偏离）的频带更宽，为正偏离。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3、频率响应：优于75 Hz - 20 kHz (±3 dB)；</w:t>
            </w:r>
          </w:p>
          <w:p>
            <w:pPr>
              <w:jc w:val="left"/>
              <w:textAlignment w:val="center"/>
            </w:pPr>
            <w:r>
              <w:rPr>
                <w:rFonts w:ascii="宋体" w:hAnsi="宋体" w:cs="宋体" w:hint="eastAsia"/>
                <w:color w:val="000000"/>
                <w:kern w:val="0"/>
                <w:szCs w:val="21"/>
              </w:rPr>
              <w:t>注：若参数要求范围：优于75 Hz--20kHz。其中优于指超出75Hz～20KHz（低于75Hz的、高于20KHz的视为正偏离）的频带更宽，为正偏离。</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4、灵敏度：≥ (1w @ 1m):85dB；</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5、额定阻抗：≥8 Ohms；</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6、最大声压级：≥105 dB；</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7、额定功率：60-80W；</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8、覆盖角度（H x V)：≥115°x 85°；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9、颜色： 白(W)；</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10、含安装支架；</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三、常态化录播系统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常态化录播主机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1、采用嵌入式硬件设计，内置Linux操作系统，支持7*24小时工作；不接受PC架构以及服务器设计方式；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2、支持不小于4路高清3G-SDI、支持不小于2路HDMI输入接口；不小于2路HDMI接口视频输出；</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3、支持不少于2路HDMI输入接口同时接入，能够实现两路HDMI信号采集，并支持老师教学过程中大屏操作的全自动跟踪切换；</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4、主机含≥6口交换机，其中支持不少于4口POE供电，满足老师特写、讲台全景、学生特写、学生全景信号接入需求；</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5、主机音频接口不少于1路莲花（RCA）MIC IN、1路凤凰端子MIC IN、1路凤凰LINE IN，不少于1路凤凰端子输出、1路双莲花LINE OUT；</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6、录播主机支持本地导播功能，接上鼠标、标准键盘与显示器就可实现无延时本地导播，可以扩展硬件导播台；</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7、录播主机支持不小于2路USB接口；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8、主机包含Reset按键，可以实现出厂设置恢复，能够实时初始化系统状态；</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9、主机前面板配置液晶屏，支持显示主机版本、IP地址等信息，实时清晰管理设备操控；</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10、控制接口不小于4路，可用于控制摄像机云台与控制面板等设备；</w:t>
            </w:r>
          </w:p>
        </w:tc>
      </w:tr>
      <w:tr>
        <w:tblPrEx>
          <w:tblW w:w="8211" w:type="dxa"/>
          <w:tblInd w:w="93" w:type="dxa"/>
          <w:tblLayout w:type="fixed"/>
          <w:tblCellMar>
            <w:top w:w="0" w:type="dxa"/>
            <w:left w:w="108" w:type="dxa"/>
            <w:bottom w:w="0" w:type="dxa"/>
            <w:right w:w="108" w:type="dxa"/>
          </w:tblCellMar>
        </w:tblPrEx>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11、▲系统内置跟踪功能，无需额外配置跟踪主机即可实现智能图像识别跟踪分析与处理功能，跟踪对象不需要佩戴任何辅助装置，便可对老师和学生的动作、移动进行准确定位、跟踪，清楚的记录整个教学活动；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12、系统内置不小于2T存储空间，支持双硬盘接入，最大支持不少于16T硬盘存储空间，录制文件既可存储在本地硬盘，可以上传到云资源管理平台或第三方FTP服务器；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13、支持H.323、SIP协议，能够对接第三方视频会议终端，实现互动场景录制；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14、支持微信直播功能，支持利用windows平台B/S架构和移动客户端Android平台APP、IOS平台APP微信端现场直播功能；</w:t>
            </w:r>
          </w:p>
        </w:tc>
      </w:tr>
      <w:tr>
        <w:tblPrEx>
          <w:tblW w:w="8211" w:type="dxa"/>
          <w:tblInd w:w="93" w:type="dxa"/>
          <w:tblLayout w:type="fixed"/>
          <w:tblCellMar>
            <w:top w:w="0" w:type="dxa"/>
            <w:left w:w="108" w:type="dxa"/>
            <w:bottom w:w="0" w:type="dxa"/>
            <w:right w:w="108" w:type="dxa"/>
          </w:tblCellMar>
        </w:tblPrEx>
        <w:trPr>
          <w:trHeight w:val="282"/>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15、▲为保证设备稳定运行，要求提供设备运行无故障运行MTBF不小于9个自然日；提供20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16、系统音视频相对延迟≤40ms；</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录播管理软件</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1、录播主机系统软件须出厂即安装于录播主机内，支持网络导播与本地导播两种导播方式；</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2、系统应支持版本信息、序列号、设备型号、硬盘空间、剩余硬盘空间、跟踪机位信息、网络连接、平台接入信息等显示；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3、支持远程登录管理系统，可设置用户密码、视频输入、视频输出、互动、推流方式及模式、VGA图像微调等功能；</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4、支持视频文件上传、下载、异常修复、本地点播、删除等基本功能，支持通过状态标记自动检测课件上传是否成功，对于状态标记上传失败的课件资源支持人工手动续传；</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5、支持插入外接移动存储设备一键拷贝下载功能，并可选择多路外接移动设备；</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6、采用RTMP/RTSP/HTTP流媒体直播推送技术，支持基于Flash技术和HTML5技术的直播和点播方式，免安装插件即可接收和观看直播和点播；</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7、支持高低码流直播，并可以单独控制每一路直播的启用与停止；支持音频管理，可以进行回声消除、噪声消除、延时器、音量等设置；</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8、支持输入接口管理，显示当前接口信息与连接状态；</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9、支持与资源平台无缝对接，实现视频自动上传功能，可以兼容多种资源管理平台与第三方FTP服务器；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10、系统可以设置多种教室类型，支持常规教室、互动录播教室与第三方互动录播教室三种模式；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11、录播系统内置互动功能，支持标准H.323和SIP协议，支持与标准视频会议系统对接实现互动教学；</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12、支持录播主机与录播主机之间互动，录播主机与视频会议终端之间互动、录播主机与MCU之间互动等3种互动场景；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13、支持一键式连接远程录播教室进行互动教学，支持互动教室数据的批量导入和导出功能；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14、录播系统互动要求支持主讲教室与听讲教室两种角色自由切换；</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行为识别软件</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1、支持教室讲台、学生区域侦测区绘制，实现录播主机全自动跟踪切换；</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2、系统支持对教学活动中老师、学生的自动跟踪拍摄和切换；</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3、系统支持多个屏蔽区设置，可屏蔽观摩室和教室之间的玻璃墙，避免因玻璃墙反射而造成学生特写画面捕捉不到的问题，同时支持屏蔽教室后方因听课教师意外站立或走动而导致的错误特写画面；</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录播摄像头</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1、▲采用不低于1/2.8 英寸CMOS, 有效像素≥200 万；提供20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 1080p/60, 1080p/50, 1080i/60,1080i/50, 1080p/30, 1080p/25, 720p/60,720p/50；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3、镜头焦距：≥ 12X光学变焦, f3.5mm ~ 42.3mm, F1.8 ~ F2.8；</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4、数字变焦：≥16X；</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5、最低照度：≤0.5 Lux @ (F1.8, AGC ON)；</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6、快门速度：≤1/30s ~ 1/10000s；</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7、支持白平衡自动，室内，室外，一键，手动，指定色温；</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8、支持背光补偿，支持2D&amp;3D 数字降噪；</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9、信噪比：≥ 55dB；</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10、水平视场角≥ 70° ~ 8°、垂直视场角≥ 40° ~ 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11、支持扩展预置位数量：≥255；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12、输出接口：≥1 路 HDMI，≥1 路3G-SDI；</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13、网络接口：≥1 路RJ45: 10M / 100M 自适应以太网口；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14、音频接口：≥ 1 路Line In、 ≥3.5mm 音频接口、≥1 路、≥1路USB 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15、控制接口：≥1路RS232输入接口、≥1路RS232输出接口、≥1路RS485接口；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16、设备支持长时间运行，平均无故障运行时间（MTBF）≥250,000小时；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17、与录播主机为同一品牌；</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四、中央控制系统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中控主机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1、内置WEBSERVER，支持浏览器B/S模式控制；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2、支持模块及COMPILER+语言编程方式，使系统更加智能、方便、稳定；</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3、支持TCP/IP控制模式，UDP控制协议；</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4、支持温湿度，亮度，PM2.5，光照度等物联网传感器接入；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5、支持≥6路独立可编程RS-232，≥2路RS-485控制接口，用户可编程设置多种控制协议和代码；</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6、支持≥4路独立可编程的红外发射接口 , 支持红外转串口 , 支持控制多台红外设备及串口设备；</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7、支持≥4路继电器,≥2路I/O接口；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8、支持≥4路RJ4510M/100M/1000M以太网接口；</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9、支持通过PC浏览器访问中控主机Web界面快速调用和设置投影机、触摸一体机、灯光、空调、电脑等设备的控制指令、执行指令的时间与周期等，并自动同步到触控屏；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10、支持通过移动端 IOS/Android App 控制设备；</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11、设备可实现对灯光、空调等设备的集中控制管理、统一开关、远程控制，设置计划任务，对空调进行温区控制、电源控制，支持不同教学场景的环境照明，模式化管理。</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12、▲支持Zigbee无线物联协议，内置物联模块与天线，可与调光器等物联设备进行无线通讯；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13、支持对接学校课表系统，触摸平板实时显示课表信息并根据课表信息自动执行上课/下课等模式；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触控屏</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1、尺寸：≥7寸液晶屏，屏幕显示分辨率≥1280*800；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2、触摸点数≥10点；</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3、内置处理器频率≥1.8GHZ；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4、RJ45接口≥1路、USB2.0接口≥1路、3.5mm音频接口≥1路、HDMI接口≥1路；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5、与中控主机同一品牌。</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中控编程</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 支持安卓/苹果系统；支持IP局域网络语音呼叫对讲；</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 可定制化开发兼容WINDOWS系统；</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 支持密码验证进入控制界面；</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强电继电器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1、支持≥8路电源时序控制，提供≥8个插座输出，紫铜铜片，万能插座适合各种插头；</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2、支持2台机器级联（通过232口，使用九针双公交叉线），并可无限扩展第二台；</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3、支持标准RS232串口控制功能，可设置255个ID地址，最大可支持255台同时使用，适合于大规模集中控制；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4、具有外部电平(5V-24V)控制接口；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5、支持数码LED电压指示，具备超压和欠压警示功能，当电压高于245V或者低于195V是闪亮警示；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6、具备面板直通插座，支持电流≥10A，方便临时取电；</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7、预留20A净化模组安装空间，支持净化功能。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16口千兆交换机</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1、传输速率：10/100/1000Mbps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2、交换方式：存储-转发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3、背板带宽：32Gbps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4、包转发率：24Mpps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5、端口描述：16个10/100/1000Base-T以太网端口；</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6、网络标准：IEEE 802.3 10BASE-T、IEEE 802.3u 100BASE-TX、IEEE 802.3ab 1000BASE-T、ANSI/IEEE 802.3 Nway、IEEE 802.3x、IEEE 802.3af、IEEE 802.3at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7、POE供电：16个网口支持POE供电。</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五、感知与管理系统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调光器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1、工作电压:220V AC 50/60Hz，待机功耗:≤0.5W；</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2、无线工作频率：868.42MHz/915MHz/2.4GHz；</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3、支持有线串口通讯；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4、支持Zigbee无线物联协议;无线传输距离:≤30m(室内)，≤100m(室外)；</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5、最大负载功率:单路阻性负载3A,容性感性负载1A；</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6、适应暗盒尺寸：标准86底盒；</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7、具备灯光的开关控制及亮度调节按钮。</w:t>
            </w:r>
          </w:p>
        </w:tc>
      </w:tr>
      <w:tr>
        <w:tblPrEx>
          <w:tblW w:w="8211" w:type="dxa"/>
          <w:tblInd w:w="93" w:type="dxa"/>
          <w:tblLayout w:type="fixed"/>
          <w:tblCellMar>
            <w:top w:w="0" w:type="dxa"/>
            <w:left w:w="108" w:type="dxa"/>
            <w:bottom w:w="0" w:type="dxa"/>
            <w:right w:w="108" w:type="dxa"/>
          </w:tblCellMar>
        </w:tblPrEx>
        <w:trPr>
          <w:trHeight w:val="3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六合一传感器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1、支持同时检测甲醛、PM2.5、CO</w:t>
            </w:r>
            <w:r>
              <w:rPr>
                <w:rFonts w:ascii="宋体" w:hAnsi="宋体" w:cs="宋体" w:hint="eastAsia"/>
                <w:color w:val="000000"/>
                <w:kern w:val="0"/>
                <w:szCs w:val="21"/>
                <w:vertAlign w:val="subscript"/>
              </w:rPr>
              <w:t>2</w:t>
            </w:r>
            <w:r>
              <w:rPr>
                <w:rFonts w:ascii="宋体" w:hAnsi="宋体" w:cs="宋体" w:hint="eastAsia"/>
                <w:color w:val="000000"/>
                <w:kern w:val="0"/>
                <w:szCs w:val="21"/>
              </w:rPr>
              <w:t>、温度、湿度6种环境数据，具备以太网通讯接口；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2、甲醛测量范围：≥0---75ppm，分辨率：0.01mg/m³；</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3、PM2.5测量范围：≥0---999μg/m³，测量精度：±15%；</w:t>
            </w:r>
          </w:p>
        </w:tc>
      </w:tr>
      <w:tr>
        <w:tblPrEx>
          <w:tblW w:w="8211" w:type="dxa"/>
          <w:tblInd w:w="93" w:type="dxa"/>
          <w:tblLayout w:type="fixed"/>
          <w:tblCellMar>
            <w:top w:w="0" w:type="dxa"/>
            <w:left w:w="108" w:type="dxa"/>
            <w:bottom w:w="0" w:type="dxa"/>
            <w:right w:w="108" w:type="dxa"/>
          </w:tblCellMar>
        </w:tblPrEx>
        <w:trPr>
          <w:trHeight w:val="3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4、CO</w:t>
            </w:r>
            <w:r>
              <w:rPr>
                <w:rFonts w:ascii="宋体" w:hAnsi="宋体" w:cs="宋体" w:hint="eastAsia"/>
                <w:color w:val="000000"/>
                <w:kern w:val="0"/>
                <w:szCs w:val="21"/>
                <w:vertAlign w:val="subscript"/>
              </w:rPr>
              <w:t>2</w:t>
            </w:r>
            <w:r>
              <w:rPr>
                <w:rFonts w:ascii="宋体" w:hAnsi="宋体" w:cs="宋体" w:hint="eastAsia"/>
                <w:color w:val="000000"/>
                <w:kern w:val="0"/>
                <w:szCs w:val="21"/>
              </w:rPr>
              <w:t>测量范围：≥400---5000ppm，测量精度：±40ppm；</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5、温度测量范围：≥-40℃--- +125℃，测量精度：±0.3℃；</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6、湿度传感器测量范围：≥0---100%RH，测量精度：±0.3RH。</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RFID标签</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1、标签通讯方式：2.4G ，主动发送信号；</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2、电池：纽扣；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3、电池续航能力：≥5年。</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标签阅读器</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1、通讯方式：支持2.4G，RJ45通讯；</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2、读取性能：读取半径≥50米，速率100张/秒，容量≥1000张。</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六、教室监控</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监控摄像头</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1、★分辨率：≥2560*1440；</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2、芯片：不低于1/3" Progressive Scan CMOS；</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3、最低照度：≥0.005 Lux @（F1.2，AGC ON）（彩色），0 Lux with IR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4、红外波长： 850 nm；</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5、调节角度：水平:≥0° ~  335°，垂直:≥0° ~ 75°；旋转:≥0° ~  335°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6、网络接口：1个RJ4510M/100M自适应以太网口；</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7、供电方式：POE</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8、音频： 1个内置麦克风，1路输入（Line in），1路输出（Line out）。</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七、远程呼叫系统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IP网络对讲终端</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1、网络通讯协议 TCP/IP、UDP、ARP、ICMP、IGMP、SIP、HTTP、FTP、ONVIF；</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2、音频采样、位率要求 22.05KHz 16bit；</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3、接口应不少于 1×RJ45，1×路报警输入，1×路报警输出，1×路线路/录音输出，1×路线路输入，1×路级联接口（连接报警控制模块）；</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4、应支持各种特殊应用环境，支持嵌入墙壁或外装；</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5、采用一键求助按键设置；</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6、内置不低于3W扬声器和话筒眯头，接收广播和免提通话；应内置大容量FLASH存储器；应内置数字音频处理器，提升降噪效果、提高受话距离和音频音质；带音频输出口，可外接有源音箱或耳机；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7、支持防拆报警功能，有人为非法强拆时，可自动向管理软件发出报警；</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8、终端应支持不少于1路报警输出, 可控制警灯或门锁；应支持不少于1路报警输入，可外接报警按钮或探头；</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9、IP网络可视对讲终端支持ONVIF协议，可接入符合标准ONVIF协议的NVR等存储设备；</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10、标准RJ45接口，有以太网口的地方即可接入，跨网段和跨路由。</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11、需接入用户现有系统</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八、信息发布系统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智慧班牌</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1、基本配置：基于智慧班牌终端深度定制安卓系统，采用CPU 主频≥1.8GHz，内存≥2GB，内置FLASH闪存≥8GB，安卓5.1平台；</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2、主板：多媒体专用高清网络解码芯片；</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3、显示屏分辨率：≥1920*1080 ；</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4、尺寸：≥21.5英寸；</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5、集控系统：终端支持远程后台设置自动开关机；</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6、可显示教室当周课程，当前课程可高亮，突出显示，可查看教室本周、本学期的全部课程，标明周次、体现场地名称、课程名称等；</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7、外观：窄边框圆角设计；</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8、采用壁挂式、终端自带安装挂板；</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9、内置720p高清摄像头、内置音响；</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10、触摸：≥10点电容式触摸屏。</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11、需与用户现有信息发布系统管理平台兼容。</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九、电子时钟系统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网络同步电子时钟</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1、自身精度：±0.05s/d；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2、LED发光强度≥1000mcd；</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3、功率：≤30W；</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4、采用标准POE/NTP；</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5、尺寸：530*160*45mm；</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6、需接入用户现有系统</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十、打铃系统</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IP网络音箱</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1、内置2x20W数字功率放大器；</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2、1路线路（AUX）输入接口，具有独立的音量电位器控制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3、内置模拟音频信号备份模块，支持定压100V信号输入</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4、兼容路由器、交换机、网桥网关、Modem、Internet、2G、3G、4G等任意网络结构</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5、嵌入式计算机技术和DSP音频处理技术设计；</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6、一体化壁挂式音箱设计</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7、内置1路网络硬件音频解码模块，支持TCP/IP、UDP协议</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8、需接入用户现有广播打铃系统</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十一、周边</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互联黑板（一）</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1、黑板尺寸：1420mm（L）×820mm（H），可根据现场实际情况调整；整体框架尺寸：现场实际情况定制（红外感应黑板+100或120寸交互式触控投影屏幕）（100或120寸交互式触控投影屏幕镶嵌在整体框架中）；</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2、红外感应书写板数量：2块；</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3、板面材质：颜色为墨绿色，面板厚度≥0.3mm，硬度≥6H；</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4、结构：采用双轨道双板设计，两块互动升降；采用滑轮钢丝绳传动；书写板可选择任意位置停留，书写时不晃动，推拉运行灵活，不卡槽；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5、触控技术：红外触控；比例设置：支持16:9/4:3或自定义模式；</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6、快捷键：双侧板面提供上下居中的快捷键，可以进行书写内容预览、板书上下页翻页、红、白、黄三色笔迹选择、扫码分享、投票、一键清屏等快捷按键；</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7、记录方式：在黑板书写任意内容时，显示设备可以同时进行交互式操作，在书写完毕后通过一键预览可以实现显示端显示，也可以通过预览直接调出记录内容实现板书和显示同步；</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8、记录模式：软件可以设置两种板书记录模式，模式一：支持一块黑板记录一页页面，模式二：支持黑板书写时同时在显示端显示；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5、笔迹选择：通过点击快捷键红、白、黄可以选择书写笔迹颜色；</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6、板书保存：黑板板书内容可以本地保存为图片、PDF等格式，也可以采用移动设备扫描二维码获取；</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7、外框：采用高档磨砂白色铝型材：左、右升降导轨整体成型；下轨道与去尘槽一体化设计，去尘槽设计防刮包角，并与去尘槽平齐；与交互式触控投影屏幕镶嵌为一个整体；</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互联黑板（二）</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1、红外感应书写板尺寸：2000mm（L）×1280mm（H），可根据现场实际情况调整；整体框架尺寸：现场实际情况定制</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2、红外感应书写板数量：2块；</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3、板面材质：颜色为墨绿色，面板厚度≥0.3mm，硬度≥6H；</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4、结构：采用双轨道双板设计，两块互动升降；采用滑轮钢丝绳传动；书写板可选择任意位置停留，书写时不晃动，推拉运行灵活，不卡槽；</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5、触控技术：红外触控；比例设置：支持16:9/4:3或自定义模式；</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6、快捷键：双侧板面提供上下居中的快捷键，可以进行书写内容预览、板书上下页翻页、红、白、黄三色笔迹选择、扫码分享、投票、一键清屏等快捷按键；</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7、记录方式：在黑板书写任意内容时，显示设备可以同时进行交互式操作，在书写完毕后通过一键预览可以实现显示端显示，也可以通过预览直接调出记录内容实现板书和显示同步；</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8、记录模式：软件可以设置两种板书记录模式，模式一：支持一块黑板记录一页页面，模式二：支持黑板书写时同时在显示端显示；</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9、笔迹选择：通过点击快捷键红、白、黄可以选择书写笔迹颜色；</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10、板书保存：黑板板书内容可以本地保存为图片、PDF等格式，也可以采用移动设备扫描二维码获取；</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11、普通黑板书写板数量：4块；</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12、普通黑板板面材质：颜色为墨绿色，面板厚度≥0.3mm，硬度≥6H；</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13、结构：采用双轨道双板设计，两块互动升降；采用滑轮钢丝绳传动；书写板可选择任意位置停留，书写时不晃动，推拉运行灵活，不卡槽；</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14、书写板边框：上、左、右三方采用规格33.6*25mm高档磨砂白色铝型材；下边书写板边框与拉手整体成型的高档白色铝型材，规格43*33.6mm；</w:t>
            </w:r>
          </w:p>
        </w:tc>
      </w:tr>
      <w:tr>
        <w:tblPrEx>
          <w:tblW w:w="8211"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15、外框：采用高档磨砂白色铝型材：左、右升降导轨整体成型，规格114*70mm；上梁114*70mm；下梁114*45mm。下轨道与去尘槽一体化设计，去尘槽设计防刮包角，并与去尘槽平齐。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16、整体由1组红外感应书写板和2组普通黑板书写板组成为一个整体；</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讲台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1、结构：木制钢制混合结构；</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2、外观：按使用方要求定制，喷印校方LOGO；</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3、电源接口： AC220V三孔插座</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4、信息接口：不少于2路USB接口、1路HDMI、1路3.5音频接口、1路RJ45；</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5、左侧具有放置笔记本电脑的伸缩板，右侧具有伸缩抽屉。</w:t>
            </w:r>
          </w:p>
        </w:tc>
      </w:tr>
      <w:tr>
        <w:tblPrEx>
          <w:tblW w:w="8211" w:type="dxa"/>
          <w:tblInd w:w="93" w:type="dxa"/>
          <w:tblLayout w:type="fixed"/>
          <w:tblCellMar>
            <w:top w:w="0" w:type="dxa"/>
            <w:left w:w="108" w:type="dxa"/>
            <w:bottom w:w="0" w:type="dxa"/>
            <w:right w:w="108" w:type="dxa"/>
          </w:tblCellMar>
        </w:tblPrEx>
        <w:trPr>
          <w:trHeight w:val="270"/>
        </w:trPr>
        <w:tc>
          <w:tcPr>
            <w:tcW w:w="8211"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十二、辅材及其它</w:t>
            </w:r>
          </w:p>
        </w:tc>
      </w:tr>
      <w:tr>
        <w:tblPrEx>
          <w:tblW w:w="8211"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管线</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1、包括管线、管线预埋、信号传输电缆和控制线缆等耗材及辅材。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2、包括另外两间教室的埋管布线、设备安装、系统调试，使用方提供设备。</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系统集成和调试</w:t>
            </w: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1、应择优配置和选型，满足系统集成设备间短距离连接所需各类线材和辅材。</w:t>
            </w:r>
          </w:p>
        </w:tc>
      </w:tr>
      <w:tr>
        <w:tblPrEx>
          <w:tblW w:w="8211"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6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2、所有教室需接入现有的远程控制平台</w:t>
            </w:r>
          </w:p>
        </w:tc>
      </w:tr>
    </w:tbl>
    <w:p>
      <w:pPr>
        <w:pStyle w:val="BodyText2"/>
        <w:rPr>
          <w:b/>
          <w:szCs w:val="21"/>
        </w:rPr>
      </w:pPr>
    </w:p>
    <w:p>
      <w:pPr>
        <w:pStyle w:val="Heading2"/>
        <w:spacing w:before="120" w:beforeLines="50" w:after="120" w:afterLines="50"/>
        <w:rPr>
          <w:sz w:val="28"/>
          <w:szCs w:val="28"/>
        </w:rPr>
      </w:pPr>
      <w:r>
        <w:rPr>
          <w:rFonts w:hint="eastAsia"/>
          <w:sz w:val="28"/>
          <w:szCs w:val="28"/>
        </w:rPr>
        <w:t>五、商务要求</w:t>
      </w:r>
    </w:p>
    <w:p>
      <w:pPr>
        <w:ind w:firstLine="420"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ind w:firstLine="420" w:firstLineChars="200"/>
        <w:rPr>
          <w:b/>
          <w:szCs w:val="21"/>
        </w:rPr>
      </w:pPr>
      <w:r>
        <w:rPr>
          <w:b/>
          <w:szCs w:val="21"/>
        </w:rPr>
        <w:t>2</w:t>
      </w:r>
      <w:r>
        <w:rPr>
          <w:rFonts w:hint="eastAsia"/>
          <w:b/>
          <w:szCs w:val="21"/>
        </w:rPr>
        <w:t>、带“</w:t>
      </w:r>
      <w:r>
        <w:rPr>
          <w:rFonts w:ascii="宋体" w:hAnsi="宋体" w:cs="宋体" w:hint="eastAsia"/>
          <w:b/>
          <w:szCs w:val="21"/>
        </w:rPr>
        <w:t>★</w:t>
      </w:r>
      <w:r>
        <w:rPr>
          <w:rFonts w:hint="eastAsia"/>
          <w:b/>
          <w:szCs w:val="21"/>
        </w:rPr>
        <w:t>”指标项为实质性条款，如出现负偏离，将被视为未实质性满足招标文件要求作投标无效处理；带“</w:t>
      </w:r>
      <w:r>
        <w:t>▲</w:t>
      </w:r>
      <w:r>
        <w:rPr>
          <w:rFonts w:hint="eastAsia"/>
          <w:b/>
          <w:szCs w:val="21"/>
        </w:rPr>
        <w:t>”指标项为重要参数，负偏离时依相关评分准则内容作重点扣分处理。</w:t>
      </w:r>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8"/>
        <w:gridCol w:w="1566"/>
        <w:gridCol w:w="5745"/>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18" w:type="dxa"/>
            <w:vAlign w:val="center"/>
          </w:tcPr>
          <w:p>
            <w:pPr>
              <w:jc w:val="center"/>
              <w:rPr>
                <w:b/>
              </w:rPr>
            </w:pPr>
            <w:r>
              <w:rPr>
                <w:rFonts w:hint="eastAsia"/>
                <w:b/>
              </w:rPr>
              <w:t>序号</w:t>
            </w:r>
          </w:p>
        </w:tc>
        <w:tc>
          <w:tcPr>
            <w:tcW w:w="1566" w:type="dxa"/>
            <w:vAlign w:val="center"/>
          </w:tcPr>
          <w:p>
            <w:pPr>
              <w:jc w:val="center"/>
              <w:rPr>
                <w:b/>
              </w:rPr>
            </w:pPr>
            <w:r>
              <w:rPr>
                <w:rFonts w:hint="eastAsia"/>
                <w:b/>
              </w:rPr>
              <w:t>商务需求项</w:t>
            </w:r>
          </w:p>
        </w:tc>
        <w:tc>
          <w:tcPr>
            <w:tcW w:w="5745" w:type="dxa"/>
            <w:vAlign w:val="center"/>
          </w:tcPr>
          <w:p>
            <w:pPr>
              <w:jc w:val="center"/>
              <w:rPr>
                <w:b/>
              </w:rPr>
            </w:pPr>
            <w:r>
              <w:rPr>
                <w:rFonts w:hint="eastAsia"/>
                <w:b/>
              </w:rPr>
              <w:t>招标商务要求</w:t>
            </w:r>
          </w:p>
        </w:tc>
      </w:tr>
      <w:tr>
        <w:tblPrEx>
          <w:tblW w:w="8529" w:type="dxa"/>
          <w:tblInd w:w="0" w:type="dxa"/>
          <w:tblLayout w:type="fixed"/>
          <w:tblCellMar>
            <w:top w:w="0" w:type="dxa"/>
            <w:left w:w="108" w:type="dxa"/>
            <w:bottom w:w="0" w:type="dxa"/>
            <w:right w:w="108" w:type="dxa"/>
          </w:tblCellMar>
        </w:tblPrEx>
        <w:trPr>
          <w:trHeight w:val="280"/>
        </w:trPr>
        <w:tc>
          <w:tcPr>
            <w:tcW w:w="8529" w:type="dxa"/>
            <w:gridSpan w:val="3"/>
          </w:tcPr>
          <w:p>
            <w:pPr>
              <w:rPr>
                <w:b/>
              </w:rPr>
            </w:pPr>
            <w:r>
              <w:rPr>
                <w:rFonts w:hint="eastAsia"/>
                <w:b/>
              </w:rPr>
              <w:t>（一）免费保修期内售后服务要求</w:t>
            </w:r>
          </w:p>
        </w:tc>
      </w:tr>
      <w:tr>
        <w:tblPrEx>
          <w:tblW w:w="8529"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1</w:t>
            </w:r>
          </w:p>
        </w:tc>
        <w:tc>
          <w:tcPr>
            <w:tcW w:w="1566" w:type="dxa"/>
            <w:vAlign w:val="center"/>
          </w:tcPr>
          <w:p>
            <w:r>
              <w:rPr>
                <w:rFonts w:hint="eastAsia"/>
              </w:rPr>
              <w:t>关于免费保修期</w:t>
            </w:r>
          </w:p>
        </w:tc>
        <w:tc>
          <w:tcPr>
            <w:tcW w:w="5745" w:type="dxa"/>
            <w:vAlign w:val="center"/>
          </w:tcPr>
          <w:p>
            <w:pPr>
              <w:rPr>
                <w:bCs/>
                <w:szCs w:val="21"/>
              </w:rPr>
            </w:pPr>
            <w:r>
              <w:rPr>
                <w:rFonts w:hint="eastAsia"/>
              </w:rPr>
              <w:t>货物免费保修期</w:t>
            </w:r>
            <w:r>
              <w:rPr>
                <w:rFonts w:hint="eastAsia"/>
                <w:u w:val="single"/>
              </w:rPr>
              <w:t xml:space="preserve"> 两 </w:t>
            </w:r>
            <w:r>
              <w:rPr>
                <w:rFonts w:hint="eastAsia"/>
              </w:rPr>
              <w:t>年，时间自最终验收合格并交付使用之日起计算。免费保修期内所有设备或系统故障的修复全部费用由中标人承担。</w:t>
            </w:r>
          </w:p>
        </w:tc>
      </w:tr>
      <w:tr>
        <w:tblPrEx>
          <w:tblW w:w="8529"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2</w:t>
            </w:r>
          </w:p>
        </w:tc>
        <w:tc>
          <w:tcPr>
            <w:tcW w:w="1566" w:type="dxa"/>
            <w:vAlign w:val="center"/>
          </w:tcPr>
          <w:p>
            <w:r>
              <w:rPr>
                <w:rFonts w:hint="eastAsia"/>
              </w:rPr>
              <w:t>维修响应及故障解决时间</w:t>
            </w:r>
          </w:p>
        </w:tc>
        <w:tc>
          <w:tcPr>
            <w:tcW w:w="5745" w:type="dxa"/>
            <w:vAlign w:val="center"/>
          </w:tcPr>
          <w:p>
            <w:pPr>
              <w:rPr>
                <w:bCs/>
                <w:szCs w:val="21"/>
              </w:rPr>
            </w:pPr>
            <w:r>
              <w:t>保修期间设备或软件系统发生故障，</w:t>
            </w:r>
            <w:r>
              <w:rPr>
                <w:rFonts w:hint="eastAsia"/>
              </w:rPr>
              <w:t>中标人应在不超过</w:t>
            </w:r>
            <w:r>
              <w:t>4</w:t>
            </w:r>
            <w:r>
              <w:rPr>
                <w:rFonts w:hint="eastAsia"/>
              </w:rPr>
              <w:t>小时内对用户的服务要求做出响应，接到用户维修通知后1个工作日内必须到客户现场进行修理或更换。</w:t>
            </w:r>
          </w:p>
        </w:tc>
      </w:tr>
      <w:tr>
        <w:tblPrEx>
          <w:tblW w:w="8529"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3</w:t>
            </w:r>
          </w:p>
        </w:tc>
        <w:tc>
          <w:tcPr>
            <w:tcW w:w="1566" w:type="dxa"/>
            <w:vAlign w:val="center"/>
          </w:tcPr>
          <w:p>
            <w:r>
              <w:rPr>
                <w:rFonts w:hint="eastAsia"/>
              </w:rPr>
              <w:t>培训</w:t>
            </w:r>
          </w:p>
        </w:tc>
        <w:tc>
          <w:tcPr>
            <w:tcW w:w="5745" w:type="dxa"/>
            <w:vAlign w:val="center"/>
          </w:tcPr>
          <w:p>
            <w:pPr>
              <w:rPr>
                <w:bCs/>
                <w:szCs w:val="21"/>
              </w:rPr>
            </w:pPr>
            <w:r>
              <w:rPr>
                <w:rFonts w:hint="eastAsia"/>
              </w:rPr>
              <w:t>技术培训工作应与系统安装、实施工作同步进行，中标人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r>
      <w:tr>
        <w:tblPrEx>
          <w:tblW w:w="8529" w:type="dxa"/>
          <w:tblInd w:w="0" w:type="dxa"/>
          <w:tblLayout w:type="fixed"/>
          <w:tblCellMar>
            <w:top w:w="0" w:type="dxa"/>
            <w:left w:w="108" w:type="dxa"/>
            <w:bottom w:w="0" w:type="dxa"/>
            <w:right w:w="108" w:type="dxa"/>
          </w:tblCellMar>
        </w:tblPrEx>
        <w:trPr>
          <w:trHeight w:val="280"/>
        </w:trPr>
        <w:tc>
          <w:tcPr>
            <w:tcW w:w="8529" w:type="dxa"/>
            <w:gridSpan w:val="3"/>
          </w:tcPr>
          <w:p>
            <w:pPr>
              <w:rPr>
                <w:b/>
              </w:rPr>
            </w:pPr>
            <w:r>
              <w:rPr>
                <w:rFonts w:hint="eastAsia"/>
                <w:b/>
              </w:rPr>
              <w:t>（二）免费保修期外售后服务要求</w:t>
            </w:r>
          </w:p>
        </w:tc>
      </w:tr>
      <w:tr>
        <w:tblPrEx>
          <w:tblW w:w="8529" w:type="dxa"/>
          <w:tblInd w:w="0" w:type="dxa"/>
          <w:tblLayout w:type="fixed"/>
          <w:tblCellMar>
            <w:top w:w="0" w:type="dxa"/>
            <w:left w:w="108" w:type="dxa"/>
            <w:bottom w:w="0" w:type="dxa"/>
            <w:right w:w="108" w:type="dxa"/>
          </w:tblCellMar>
        </w:tblPrEx>
        <w:trPr>
          <w:trHeight w:val="350"/>
        </w:trPr>
        <w:tc>
          <w:tcPr>
            <w:tcW w:w="1218" w:type="dxa"/>
            <w:vAlign w:val="center"/>
          </w:tcPr>
          <w:p>
            <w:pPr>
              <w:jc w:val="center"/>
              <w:rPr>
                <w:bCs/>
              </w:rPr>
            </w:pPr>
            <w:r>
              <w:rPr>
                <w:rFonts w:hint="eastAsia"/>
                <w:bCs/>
              </w:rPr>
              <w:t>1</w:t>
            </w:r>
          </w:p>
        </w:tc>
        <w:tc>
          <w:tcPr>
            <w:tcW w:w="1566" w:type="dxa"/>
          </w:tcPr>
          <w:p>
            <w:pPr>
              <w:rPr>
                <w:b/>
              </w:rPr>
            </w:pPr>
            <w:r>
              <w:rPr>
                <w:rFonts w:hint="eastAsia"/>
              </w:rPr>
              <w:t>维修响应及故障解决时间</w:t>
            </w:r>
          </w:p>
        </w:tc>
        <w:tc>
          <w:tcPr>
            <w:tcW w:w="5745" w:type="dxa"/>
          </w:tcPr>
          <w:p>
            <w:pPr>
              <w:rPr>
                <w:b/>
              </w:rPr>
            </w:pPr>
            <w:r>
              <w:rPr>
                <w:bCs/>
                <w:szCs w:val="21"/>
              </w:rPr>
              <w:t>设备或软件系统发生故障，</w:t>
            </w:r>
            <w:r>
              <w:rPr>
                <w:rFonts w:hint="eastAsia"/>
                <w:bCs/>
                <w:szCs w:val="21"/>
              </w:rPr>
              <w:t>中标人应在不超过</w:t>
            </w:r>
            <w:r>
              <w:rPr>
                <w:bCs/>
                <w:szCs w:val="21"/>
              </w:rPr>
              <w:t>4</w:t>
            </w:r>
            <w:r>
              <w:rPr>
                <w:rFonts w:hint="eastAsia"/>
                <w:bCs/>
                <w:szCs w:val="21"/>
              </w:rPr>
              <w:t>小时内对用户的服务要求做出响应，接到用户维修通知后1个工作日内必须到客户现场进行修理或更换。</w:t>
            </w:r>
          </w:p>
        </w:tc>
      </w:tr>
      <w:tr>
        <w:tblPrEx>
          <w:tblW w:w="8529" w:type="dxa"/>
          <w:tblInd w:w="0" w:type="dxa"/>
          <w:tblLayout w:type="fixed"/>
          <w:tblCellMar>
            <w:top w:w="0" w:type="dxa"/>
            <w:left w:w="108" w:type="dxa"/>
            <w:bottom w:w="0" w:type="dxa"/>
            <w:right w:w="108" w:type="dxa"/>
          </w:tblCellMar>
        </w:tblPrEx>
        <w:trPr>
          <w:trHeight w:val="350"/>
        </w:trPr>
        <w:tc>
          <w:tcPr>
            <w:tcW w:w="1218" w:type="dxa"/>
            <w:vAlign w:val="center"/>
          </w:tcPr>
          <w:p>
            <w:pPr>
              <w:jc w:val="center"/>
              <w:rPr>
                <w:bCs/>
              </w:rPr>
            </w:pPr>
            <w:r>
              <w:rPr>
                <w:rFonts w:hint="eastAsia"/>
                <w:bCs/>
              </w:rPr>
              <w:t>2</w:t>
            </w:r>
          </w:p>
        </w:tc>
        <w:tc>
          <w:tcPr>
            <w:tcW w:w="1566" w:type="dxa"/>
          </w:tcPr>
          <w:p>
            <w:pPr>
              <w:jc w:val="center"/>
              <w:rPr>
                <w:b/>
              </w:rPr>
            </w:pPr>
            <w:r>
              <w:rPr>
                <w:bCs/>
                <w:szCs w:val="21"/>
              </w:rPr>
              <w:t>零配件</w:t>
            </w:r>
          </w:p>
        </w:tc>
        <w:tc>
          <w:tcPr>
            <w:tcW w:w="5745" w:type="dxa"/>
          </w:tcPr>
          <w:p>
            <w:pPr>
              <w:rPr>
                <w:b/>
              </w:rPr>
            </w:pPr>
            <w:r>
              <w:rPr>
                <w:bCs/>
                <w:szCs w:val="21"/>
              </w:rPr>
              <w:t>若甲方有扩容需求或更换零配件</w:t>
            </w:r>
            <w:r>
              <w:rPr>
                <w:rFonts w:hint="eastAsia"/>
                <w:bCs/>
                <w:szCs w:val="21"/>
              </w:rPr>
              <w:t>，</w:t>
            </w:r>
            <w:r>
              <w:rPr>
                <w:bCs/>
                <w:szCs w:val="21"/>
              </w:rPr>
              <w:t>乙方需按照</w:t>
            </w:r>
            <w:r>
              <w:rPr>
                <w:rFonts w:hint="eastAsia"/>
                <w:bCs/>
                <w:szCs w:val="21"/>
              </w:rPr>
              <w:t>本</w:t>
            </w:r>
            <w:r>
              <w:rPr>
                <w:bCs/>
                <w:szCs w:val="21"/>
              </w:rPr>
              <w:t>次合同的单价执行</w:t>
            </w:r>
            <w:r>
              <w:rPr>
                <w:rFonts w:hint="eastAsia"/>
                <w:bCs/>
                <w:szCs w:val="21"/>
              </w:rPr>
              <w:t>，</w:t>
            </w:r>
            <w:r>
              <w:rPr>
                <w:bCs/>
                <w:szCs w:val="21"/>
              </w:rPr>
              <w:t>或低于</w:t>
            </w:r>
            <w:r>
              <w:rPr>
                <w:rFonts w:hint="eastAsia"/>
                <w:bCs/>
                <w:szCs w:val="21"/>
              </w:rPr>
              <w:t>本</w:t>
            </w:r>
            <w:r>
              <w:rPr>
                <w:bCs/>
                <w:szCs w:val="21"/>
              </w:rPr>
              <w:t>次合同的单价执行</w:t>
            </w:r>
            <w:r>
              <w:rPr>
                <w:rFonts w:hint="eastAsia"/>
                <w:bCs/>
                <w:szCs w:val="21"/>
              </w:rPr>
              <w:t>。</w:t>
            </w:r>
          </w:p>
        </w:tc>
      </w:tr>
      <w:tr>
        <w:tblPrEx>
          <w:tblW w:w="8529" w:type="dxa"/>
          <w:tblInd w:w="0" w:type="dxa"/>
          <w:tblLayout w:type="fixed"/>
          <w:tblCellMar>
            <w:top w:w="0" w:type="dxa"/>
            <w:left w:w="108" w:type="dxa"/>
            <w:bottom w:w="0" w:type="dxa"/>
            <w:right w:w="108" w:type="dxa"/>
          </w:tblCellMar>
        </w:tblPrEx>
        <w:trPr>
          <w:trHeight w:val="350"/>
        </w:trPr>
        <w:tc>
          <w:tcPr>
            <w:tcW w:w="8529" w:type="dxa"/>
            <w:gridSpan w:val="3"/>
          </w:tcPr>
          <w:p>
            <w:pPr>
              <w:rPr>
                <w:b/>
              </w:rPr>
            </w:pPr>
            <w:r>
              <w:rPr>
                <w:rFonts w:hint="eastAsia"/>
                <w:b/>
              </w:rPr>
              <w:t>（三）其他商务要求</w:t>
            </w:r>
          </w:p>
        </w:tc>
      </w:tr>
      <w:tr>
        <w:tblPrEx>
          <w:tblW w:w="8529" w:type="dxa"/>
          <w:tblInd w:w="0" w:type="dxa"/>
          <w:tblLayout w:type="fixed"/>
          <w:tblCellMar>
            <w:top w:w="0" w:type="dxa"/>
            <w:left w:w="108" w:type="dxa"/>
            <w:bottom w:w="0" w:type="dxa"/>
            <w:right w:w="108" w:type="dxa"/>
          </w:tblCellMar>
        </w:tblPrEx>
        <w:trPr>
          <w:trHeight w:val="375"/>
        </w:trPr>
        <w:tc>
          <w:tcPr>
            <w:tcW w:w="1218" w:type="dxa"/>
            <w:vMerge w:val="restart"/>
            <w:vAlign w:val="center"/>
          </w:tcPr>
          <w:p>
            <w:pPr>
              <w:jc w:val="center"/>
              <w:rPr>
                <w:b/>
              </w:rPr>
            </w:pPr>
            <w:r>
              <w:rPr>
                <w:rFonts w:hint="eastAsia"/>
                <w:b/>
              </w:rPr>
              <w:t>1</w:t>
            </w:r>
          </w:p>
        </w:tc>
        <w:tc>
          <w:tcPr>
            <w:tcW w:w="1566" w:type="dxa"/>
            <w:vMerge w:val="restart"/>
            <w:vAlign w:val="center"/>
          </w:tcPr>
          <w:p>
            <w:pPr>
              <w:jc w:val="center"/>
            </w:pPr>
            <w:r>
              <w:rPr>
                <w:rFonts w:hint="eastAsia"/>
              </w:rPr>
              <w:t>关于交货</w:t>
            </w:r>
          </w:p>
        </w:tc>
        <w:tc>
          <w:tcPr>
            <w:tcW w:w="5745" w:type="dxa"/>
          </w:tcPr>
          <w:p>
            <w:pPr>
              <w:rPr>
                <w:bCs/>
                <w:szCs w:val="21"/>
              </w:rPr>
            </w:pPr>
            <w:r>
              <w:rPr>
                <w:rFonts w:hint="eastAsia"/>
                <w:bCs/>
                <w:szCs w:val="21"/>
              </w:rPr>
              <w:t>1.1交货地点：清华大学深圳国际研究生院“国际一期”大楼</w:t>
            </w:r>
          </w:p>
        </w:tc>
      </w:tr>
      <w:tr>
        <w:tblPrEx>
          <w:tblW w:w="8529" w:type="dxa"/>
          <w:tblInd w:w="0" w:type="dxa"/>
          <w:tblLayout w:type="fixed"/>
          <w:tblCellMar>
            <w:top w:w="0" w:type="dxa"/>
            <w:left w:w="108" w:type="dxa"/>
            <w:bottom w:w="0" w:type="dxa"/>
            <w:right w:w="108" w:type="dxa"/>
          </w:tblCellMar>
        </w:tblPrEx>
        <w:trPr>
          <w:trHeight w:val="376"/>
        </w:trPr>
        <w:tc>
          <w:tcPr>
            <w:tcW w:w="1218" w:type="dxa"/>
            <w:vMerge/>
            <w:vAlign w:val="center"/>
          </w:tcPr>
          <w:p>
            <w:pPr>
              <w:jc w:val="center"/>
              <w:rPr>
                <w:b/>
              </w:rPr>
            </w:pPr>
          </w:p>
        </w:tc>
        <w:tc>
          <w:tcPr>
            <w:tcW w:w="1566" w:type="dxa"/>
            <w:vMerge/>
            <w:vAlign w:val="center"/>
          </w:tcPr>
          <w:p>
            <w:pPr>
              <w:jc w:val="center"/>
            </w:pPr>
          </w:p>
        </w:tc>
        <w:tc>
          <w:tcPr>
            <w:tcW w:w="5745" w:type="dxa"/>
          </w:tcPr>
          <w:p>
            <w:pPr>
              <w:rPr>
                <w:bCs/>
                <w:szCs w:val="21"/>
              </w:rPr>
            </w:pPr>
            <w:r>
              <w:rPr>
                <w:rFonts w:hint="eastAsia"/>
                <w:bCs/>
                <w:szCs w:val="21"/>
              </w:rPr>
              <w:t>1.2投标人需承担的设备运输、安装调试、验收检测和提供设备操作说明书、图纸等其他类似的义务。</w:t>
            </w:r>
          </w:p>
        </w:tc>
      </w:tr>
      <w:tr>
        <w:tblPrEx>
          <w:tblW w:w="8529" w:type="dxa"/>
          <w:tblInd w:w="0" w:type="dxa"/>
          <w:tblLayout w:type="fixed"/>
          <w:tblCellMar>
            <w:top w:w="0" w:type="dxa"/>
            <w:left w:w="108" w:type="dxa"/>
            <w:bottom w:w="0" w:type="dxa"/>
            <w:right w:w="108" w:type="dxa"/>
          </w:tblCellMar>
        </w:tblPrEx>
        <w:trPr>
          <w:trHeight w:val="376"/>
        </w:trPr>
        <w:tc>
          <w:tcPr>
            <w:tcW w:w="1218" w:type="dxa"/>
            <w:vMerge/>
            <w:vAlign w:val="center"/>
          </w:tcPr>
          <w:p>
            <w:pPr>
              <w:jc w:val="center"/>
              <w:rPr>
                <w:b/>
              </w:rPr>
            </w:pPr>
          </w:p>
        </w:tc>
        <w:tc>
          <w:tcPr>
            <w:tcW w:w="1566" w:type="dxa"/>
            <w:vMerge/>
            <w:vAlign w:val="center"/>
          </w:tcPr>
          <w:p>
            <w:pPr>
              <w:jc w:val="center"/>
            </w:pPr>
          </w:p>
        </w:tc>
        <w:tc>
          <w:tcPr>
            <w:tcW w:w="5745" w:type="dxa"/>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45</w:t>
            </w:r>
            <w:r>
              <w:rPr>
                <w:rFonts w:hint="eastAsia"/>
                <w:bCs/>
                <w:szCs w:val="21"/>
              </w:rPr>
              <w:t>天（日历日）内交货。</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rPr>
                <w:b/>
              </w:rPr>
            </w:pPr>
            <w:r>
              <w:rPr>
                <w:rFonts w:hint="eastAsia"/>
                <w:b/>
              </w:rPr>
              <w:t>2</w:t>
            </w:r>
          </w:p>
        </w:tc>
        <w:tc>
          <w:tcPr>
            <w:tcW w:w="1566" w:type="dxa"/>
            <w:vMerge w:val="restart"/>
            <w:vAlign w:val="center"/>
          </w:tcPr>
          <w:p>
            <w:pPr>
              <w:jc w:val="center"/>
            </w:pPr>
            <w:r>
              <w:rPr>
                <w:rFonts w:hint="eastAsia"/>
              </w:rPr>
              <w:t>关于验收</w:t>
            </w:r>
          </w:p>
        </w:tc>
        <w:tc>
          <w:tcPr>
            <w:tcW w:w="5745" w:type="dxa"/>
          </w:tcPr>
          <w:p>
            <w:pPr>
              <w:spacing w:line="340" w:lineRule="exact"/>
              <w:rPr>
                <w:bCs/>
                <w:szCs w:val="21"/>
              </w:rPr>
            </w:pPr>
            <w:r>
              <w:rPr>
                <w:rFonts w:hint="eastAsia"/>
                <w:bCs/>
                <w:szCs w:val="21"/>
              </w:rPr>
              <w:t>2.1投标人货物经过双方检验认可后，签署验收报告，产品保修期自验收合格之日起算，由投标人提供产品保修文件。</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rPr>
                <w:b/>
              </w:rPr>
            </w:pPr>
          </w:p>
        </w:tc>
        <w:tc>
          <w:tcPr>
            <w:tcW w:w="1566" w:type="dxa"/>
            <w:vMerge/>
            <w:vAlign w:val="center"/>
          </w:tcPr>
          <w:p>
            <w:pPr>
              <w:rPr>
                <w:b/>
              </w:rPr>
            </w:pPr>
          </w:p>
        </w:tc>
        <w:tc>
          <w:tcPr>
            <w:tcW w:w="5745" w:type="dxa"/>
          </w:tcPr>
          <w:p>
            <w:pPr>
              <w:spacing w:line="340" w:lineRule="exact"/>
              <w:rPr>
                <w:bCs/>
                <w:szCs w:val="21"/>
              </w:rPr>
            </w:pPr>
            <w:r>
              <w:rPr>
                <w:rFonts w:hint="eastAsia"/>
                <w:bCs/>
                <w:szCs w:val="21"/>
              </w:rPr>
              <w:t>2.2当满足以下条件时，采购人才向中标人签发货物验收报告：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、货物符合招标文件技术规格书的要求及投标文件响应，性能满足要求。</w:t>
            </w:r>
          </w:p>
          <w:p>
            <w:pPr>
              <w:tabs>
                <w:tab w:val="left" w:pos="1260"/>
              </w:tabs>
              <w:spacing w:line="340" w:lineRule="exact"/>
              <w:rPr>
                <w:bCs/>
                <w:szCs w:val="21"/>
              </w:rPr>
            </w:pPr>
            <w:r>
              <w:rPr>
                <w:bCs/>
                <w:szCs w:val="21"/>
              </w:rPr>
              <w:t>c</w:t>
            </w:r>
            <w:r>
              <w:rPr>
                <w:rFonts w:hint="eastAsia"/>
                <w:bCs/>
                <w:szCs w:val="21"/>
              </w:rPr>
              <w:t>、货物具备产品合格证。</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pPr>
            <w:r>
              <w:rPr>
                <w:rFonts w:hint="eastAsia"/>
                <w:bCs/>
              </w:rPr>
              <w:t>3</w:t>
            </w:r>
          </w:p>
        </w:tc>
        <w:tc>
          <w:tcPr>
            <w:tcW w:w="1566" w:type="dxa"/>
            <w:vMerge w:val="restart"/>
            <w:vAlign w:val="center"/>
          </w:tcPr>
          <w:p>
            <w:pPr>
              <w:jc w:val="center"/>
              <w:rPr>
                <w:b/>
              </w:rPr>
            </w:pPr>
            <w:r>
              <w:rPr>
                <w:rFonts w:hint="eastAsia"/>
              </w:rPr>
              <w:t>关于违约</w:t>
            </w:r>
          </w:p>
        </w:tc>
        <w:tc>
          <w:tcPr>
            <w:tcW w:w="5745" w:type="dxa"/>
          </w:tcPr>
          <w:p>
            <w:pPr>
              <w:rPr>
                <w:b/>
              </w:rPr>
            </w:pPr>
            <w:r>
              <w:rPr>
                <w:rFonts w:hint="eastAsia"/>
                <w:b/>
              </w:rPr>
              <w:t>3.1中标人不能交货的，需偿付不能交货部分货款的</w:t>
            </w:r>
            <w:r>
              <w:rPr>
                <w:rFonts w:hint="eastAsia"/>
                <w:b/>
                <w:u w:val="single"/>
              </w:rPr>
              <w:t xml:space="preserve">  50  </w:t>
            </w:r>
            <w:r>
              <w:rPr>
                <w:rFonts w:hint="eastAsia"/>
                <w:b/>
              </w:rPr>
              <w:t>%的违约金并按主管部门相关规定处理。</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rPr>
                <w:b/>
              </w:rPr>
            </w:pPr>
          </w:p>
        </w:tc>
        <w:tc>
          <w:tcPr>
            <w:tcW w:w="1566" w:type="dxa"/>
            <w:vMerge/>
            <w:vAlign w:val="center"/>
          </w:tcPr>
          <w:p>
            <w:pPr>
              <w:jc w:val="center"/>
            </w:pPr>
          </w:p>
        </w:tc>
        <w:tc>
          <w:tcPr>
            <w:tcW w:w="5745" w:type="dxa"/>
          </w:tcPr>
          <w:p>
            <w:pPr>
              <w:rPr>
                <w:b/>
              </w:rPr>
            </w:pPr>
            <w:r>
              <w:rPr>
                <w:rFonts w:hint="eastAsia"/>
                <w:b/>
              </w:rPr>
              <w:t>3.2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pPr>
            <w:r>
              <w:rPr>
                <w:rFonts w:hint="eastAsia"/>
              </w:rPr>
              <w:t>4</w:t>
            </w:r>
          </w:p>
        </w:tc>
        <w:tc>
          <w:tcPr>
            <w:tcW w:w="1566" w:type="dxa"/>
            <w:vMerge w:val="restart"/>
            <w:vAlign w:val="center"/>
          </w:tcPr>
          <w:p>
            <w:pPr>
              <w:jc w:val="center"/>
              <w:rPr>
                <w:b/>
              </w:rPr>
            </w:pPr>
            <w:r>
              <w:rPr>
                <w:rFonts w:hint="eastAsia"/>
                <w:bCs/>
              </w:rPr>
              <w:t>关于付款</w:t>
            </w:r>
          </w:p>
        </w:tc>
        <w:tc>
          <w:tcPr>
            <w:tcW w:w="5745" w:type="dxa"/>
          </w:tcPr>
          <w:p>
            <w:pPr>
              <w:rPr>
                <w:b/>
              </w:rPr>
            </w:pPr>
            <w:r>
              <w:rPr>
                <w:rFonts w:hint="eastAsia"/>
                <w:bCs/>
              </w:rPr>
              <w:t>4.1</w:t>
            </w:r>
            <w:r>
              <w:rPr>
                <w:bCs/>
                <w:szCs w:val="21"/>
              </w:rPr>
              <w:t>预付款</w:t>
            </w:r>
            <w:r>
              <w:rPr>
                <w:rFonts w:hint="eastAsia"/>
                <w:bCs/>
                <w:szCs w:val="21"/>
              </w:rPr>
              <w:t>：签订合同后支付合同金额的3</w:t>
            </w:r>
            <w:r>
              <w:rPr>
                <w:bCs/>
                <w:szCs w:val="21"/>
              </w:rPr>
              <w:t>0</w:t>
            </w:r>
            <w:r>
              <w:rPr>
                <w:rFonts w:hint="eastAsia"/>
                <w:bCs/>
                <w:szCs w:val="21"/>
              </w:rPr>
              <w:t>%；</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pPr>
          </w:p>
        </w:tc>
        <w:tc>
          <w:tcPr>
            <w:tcW w:w="1566" w:type="dxa"/>
            <w:vMerge/>
            <w:vAlign w:val="center"/>
          </w:tcPr>
          <w:p>
            <w:pPr>
              <w:jc w:val="center"/>
              <w:rPr>
                <w:b/>
              </w:rPr>
            </w:pPr>
          </w:p>
        </w:tc>
        <w:tc>
          <w:tcPr>
            <w:tcW w:w="5745" w:type="dxa"/>
          </w:tcPr>
          <w:p>
            <w:pPr>
              <w:rPr>
                <w:rFonts w:hint="eastAsia"/>
              </w:rPr>
            </w:pPr>
            <w:r>
              <w:rPr>
                <w:rFonts w:hint="eastAsia"/>
              </w:rPr>
              <w:t>4.2乙方按照合同约定交付全部合同货物，甲方向乙方支付合同价款的</w:t>
            </w:r>
            <w:r>
              <w:rPr>
                <w:rFonts w:hint="eastAsia"/>
                <w:lang w:val="en-US" w:eastAsia="zh-CN"/>
              </w:rPr>
              <w:t>65</w:t>
            </w:r>
            <w:r>
              <w:rPr>
                <w:rFonts w:hint="eastAsia"/>
              </w:rPr>
              <w:t>%。</w:t>
            </w:r>
          </w:p>
        </w:tc>
      </w:tr>
      <w:tr>
        <w:tblPrEx>
          <w:tblW w:w="8529"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pPr>
          </w:p>
        </w:tc>
        <w:tc>
          <w:tcPr>
            <w:tcW w:w="1566" w:type="dxa"/>
            <w:vMerge/>
            <w:vAlign w:val="center"/>
          </w:tcPr>
          <w:p>
            <w:pPr>
              <w:jc w:val="center"/>
              <w:rPr>
                <w:b/>
              </w:rPr>
            </w:pPr>
          </w:p>
        </w:tc>
        <w:tc>
          <w:tcPr>
            <w:tcW w:w="5745" w:type="dxa"/>
          </w:tcPr>
          <w:p>
            <w:r>
              <w:rPr>
                <w:rFonts w:hint="eastAsia"/>
                <w:lang w:val="en-US" w:eastAsia="zh-CN"/>
              </w:rPr>
              <w:t xml:space="preserve">4.3 </w:t>
            </w:r>
            <w:r>
              <w:rPr>
                <w:rFonts w:hint="eastAsia"/>
              </w:rPr>
              <w:t>完成安装、调试并经甲方验收合格后</w:t>
            </w:r>
            <w:r>
              <w:rPr>
                <w:rFonts w:hint="eastAsia"/>
                <w:lang w:eastAsia="zh-CN"/>
              </w:rPr>
              <w:t>，</w:t>
            </w:r>
            <w:r>
              <w:rPr>
                <w:rFonts w:hint="eastAsia"/>
              </w:rPr>
              <w:t>甲方向乙方支付合同价款的</w:t>
            </w:r>
            <w:r>
              <w:rPr>
                <w:rFonts w:hint="eastAsia"/>
                <w:lang w:val="en-US" w:eastAsia="zh-CN"/>
              </w:rPr>
              <w:t>5</w:t>
            </w:r>
            <w:r>
              <w:rPr>
                <w:rFonts w:hint="eastAsia"/>
              </w:rPr>
              <w:t>%。</w:t>
            </w:r>
          </w:p>
        </w:tc>
      </w:tr>
    </w:tbl>
    <w:p>
      <w:pPr>
        <w:pStyle w:val="NormalIndent"/>
        <w:spacing w:before="60" w:beforeLines="25" w:after="60" w:afterLines="25"/>
        <w:ind w:firstLine="393" w:firstLineChars="187"/>
        <w:rPr>
          <w:rFonts w:ascii="宋体" w:hAnsi="宋体"/>
          <w:szCs w:val="21"/>
        </w:rPr>
      </w:pPr>
    </w:p>
    <w:p>
      <w:pPr>
        <w:pStyle w:val="Heading2"/>
        <w:spacing w:before="120" w:beforeLines="50" w:after="120" w:afterLines="50"/>
        <w:rPr>
          <w:sz w:val="28"/>
          <w:szCs w:val="28"/>
        </w:rPr>
      </w:pPr>
      <w:r>
        <w:rPr>
          <w:rFonts w:hint="eastAsia"/>
          <w:sz w:val="28"/>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NormalIndent"/>
        <w:spacing w:before="60" w:beforeLines="25" w:after="60" w:afterLines="25"/>
        <w:ind w:firstLine="393"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ind w:firstLine="420" w:firstLineChars="200"/>
        <w:rPr>
          <w:bCs/>
          <w:szCs w:val="21"/>
        </w:rPr>
      </w:pPr>
      <w:r>
        <w:rPr>
          <w:bCs/>
          <w:szCs w:val="21"/>
        </w:rPr>
        <w:t>5</w:t>
      </w:r>
      <w:r>
        <w:rPr>
          <w:rFonts w:hint="eastAsia"/>
          <w:bCs/>
          <w:szCs w:val="21"/>
        </w:rPr>
        <w:t>、除政府采购合同继续履行将损害国家利益和社会公共利益外，双方当事人不得擅自变更、中止或者终止合同。</w:t>
      </w:r>
    </w:p>
    <w:p>
      <w:pPr>
        <w:ind w:firstLine="420" w:firstLineChars="200"/>
        <w:rPr>
          <w:bCs/>
          <w:szCs w:val="21"/>
        </w:rPr>
      </w:pPr>
    </w:p>
    <w:p/>
    <w:p>
      <w:pPr>
        <w:pStyle w:val="Heading2"/>
        <w:rPr>
          <w:kern w:val="2"/>
        </w:rPr>
      </w:pPr>
      <w:bookmarkStart w:id="46" w:name="_Hlk86246764"/>
      <w:r>
        <w:rPr>
          <w:rFonts w:hint="eastAsia"/>
          <w:kern w:val="2"/>
        </w:rPr>
        <w:t>第四章 投标文件组成要求及格式</w:t>
      </w:r>
    </w:p>
    <w:p>
      <w:pPr>
        <w:rPr>
          <w:rStyle w:val="3Char"/>
          <w:sz w:val="24"/>
        </w:rPr>
      </w:pPr>
      <w:r>
        <w:rPr>
          <w:rStyle w:val="3Char"/>
          <w:rFonts w:hint="eastAsia"/>
          <w:sz w:val="24"/>
        </w:rPr>
        <w:t>特别提醒：</w:t>
      </w:r>
    </w:p>
    <w:p>
      <w:pPr>
        <w:ind w:firstLine="420" w:firstLineChars="200"/>
        <w:rPr>
          <w:rFonts w:ascii="仿宋_GB2312" w:eastAsia="仿宋_GB2312"/>
          <w:sz w:val="24"/>
        </w:rPr>
      </w:pPr>
      <w:r>
        <w:rPr>
          <w:rFonts w:ascii="仿宋_GB2312" w:eastAsia="仿宋_GB2312" w:hint="eastAsia"/>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ascii="仿宋_GB2312" w:eastAsia="仿宋_GB2312" w:hint="eastAsia"/>
          <w:sz w:val="24"/>
        </w:rPr>
        <w:t xml:space="preserve">    投标文件正文（信息公开部分）必须编制于“投标书目录”部分，投标文件附件（非信息公开部分）必须编制于“投标书附件”部分，如下图所示。</w:t>
      </w:r>
    </w:p>
    <w:p>
      <w:pPr>
        <w:widowControl/>
        <w:jc w:val="left"/>
        <w:rPr>
          <w:rFonts w:ascii="宋体" w:hAnsi="宋体" w:cs="宋体"/>
          <w:kern w:val="0"/>
          <w:sz w:val="24"/>
        </w:rPr>
      </w:pPr>
      <w:r>
        <w:rPr>
          <w:rFonts w:ascii="仿宋_GB2312" w:eastAsia="仿宋_GB2312"/>
          <w:sz w:val="24"/>
        </w:rPr>
        <w:drawing>
          <wp:inline distT="0" distB="0" distL="0" distR="0">
            <wp:extent cx="5278755" cy="4126230"/>
            <wp:effectExtent l="0" t="0" r="0" b="0"/>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278755" cy="4126230"/>
                    </a:xfrm>
                    <a:prstGeom prst="rect">
                      <a:avLst/>
                    </a:prstGeom>
                    <a:noFill/>
                    <a:ln>
                      <a:noFill/>
                    </a:ln>
                  </pic:spPr>
                </pic:pic>
              </a:graphicData>
            </a:graphic>
          </wp:inline>
        </w:drawing>
      </w:r>
    </w:p>
    <w:p>
      <w:pPr>
        <w:rPr>
          <w:rFonts w:ascii="仿宋_GB2312" w:eastAsia="仿宋_GB2312"/>
          <w:sz w:val="24"/>
        </w:rPr>
      </w:pPr>
    </w:p>
    <w:p>
      <w:pPr>
        <w:jc w:val="center"/>
        <w:rPr>
          <w:rFonts w:ascii="仿宋_GB2312" w:eastAsia="仿宋_GB2312"/>
          <w:sz w:val="24"/>
        </w:rPr>
      </w:pPr>
    </w:p>
    <w:p>
      <w:pPr>
        <w:ind w:firstLine="420" w:firstLineChars="200"/>
        <w:rPr>
          <w:rFonts w:ascii="仿宋_GB2312" w:eastAsia="仿宋_GB2312"/>
          <w:sz w:val="24"/>
        </w:rPr>
      </w:pPr>
      <w:bookmarkStart w:id="47" w:name="_Hlk72257167"/>
      <w:r>
        <w:rPr>
          <w:rFonts w:ascii="仿宋_GB2312" w:eastAsia="仿宋_GB2312" w:hint="eastAsia"/>
          <w:sz w:val="24"/>
        </w:rPr>
        <w:t>政府集中采购机构公布投标文件正文（信息公开部分）时为计算机截取信息自动公布，</w:t>
      </w:r>
      <w:r>
        <w:rPr>
          <w:rFonts w:ascii="仿宋_GB2312" w:eastAsia="仿宋_GB2312" w:hint="eastAsia"/>
          <w:b/>
          <w:bCs/>
          <w:sz w:val="24"/>
        </w:rPr>
        <w:t>如投标人误将涉及个人隐私的信息放入投标文件正文，相关后果由投标人自负；</w:t>
      </w:r>
      <w:r>
        <w:rPr>
          <w:rFonts w:ascii="仿宋_GB2312" w:eastAsia="仿宋_GB2312" w:hint="eastAsia"/>
          <w:sz w:val="24"/>
        </w:rPr>
        <w:t>如投标人将必须放于投标文件正文（信息公开部分）的内容放入投标文件附件（非信息公开部分），将作投标无效处理。</w:t>
      </w:r>
    </w:p>
    <w:p>
      <w:pPr>
        <w:widowControl/>
        <w:jc w:val="left"/>
        <w:rPr>
          <w:rFonts w:ascii="仿宋_GB2312" w:eastAsia="仿宋_GB2312"/>
          <w:sz w:val="24"/>
        </w:rPr>
      </w:pPr>
      <w:bookmarkEnd w:id="46"/>
      <w:bookmarkEnd w:id="47"/>
      <w:r>
        <w:rPr>
          <w:rFonts w:ascii="仿宋_GB2312" w:eastAsia="仿宋_GB2312"/>
          <w:sz w:val="24"/>
        </w:rPr>
        <w:br w:type="page"/>
      </w:r>
    </w:p>
    <w:p>
      <w:pPr>
        <w:outlineLvl w:val="0"/>
        <w:rPr>
          <w:rStyle w:val="3Char"/>
          <w:sz w:val="28"/>
          <w:szCs w:val="28"/>
        </w:rPr>
      </w:pPr>
      <w:r>
        <w:rPr>
          <w:rStyle w:val="3Char"/>
          <w:rFonts w:hint="eastAsia"/>
          <w:sz w:val="28"/>
          <w:szCs w:val="28"/>
        </w:rPr>
        <w:t>投标文件组成：</w:t>
      </w:r>
    </w:p>
    <w:p>
      <w:pPr>
        <w:ind w:firstLine="1050" w:firstLineChars="500"/>
        <w:outlineLvl w:val="0"/>
        <w:rPr>
          <w:rFonts w:ascii="宋体" w:hAnsi="宋体"/>
          <w:sz w:val="24"/>
        </w:rPr>
      </w:pPr>
      <w:bookmarkStart w:id="48" w:name="_Hlk72257253"/>
      <w:r>
        <w:rPr>
          <w:rFonts w:ascii="宋体" w:hAnsi="宋体" w:hint="eastAsia"/>
          <w:sz w:val="24"/>
        </w:rPr>
        <w:t>1.投标文件正文</w:t>
      </w:r>
      <w:r>
        <w:rPr>
          <w:rFonts w:ascii="宋体" w:hAnsi="宋体" w:hint="eastAsia"/>
          <w:b/>
          <w:color w:val="FF0000"/>
          <w:sz w:val="24"/>
        </w:rPr>
        <w:t>（信息公开部分）</w:t>
      </w:r>
      <w:r>
        <w:rPr>
          <w:rFonts w:ascii="宋体" w:hAnsi="宋体" w:hint="eastAsia"/>
          <w:sz w:val="24"/>
        </w:rPr>
        <w:t>，主要包括以下内容：</w:t>
      </w:r>
    </w:p>
    <w:p>
      <w:pPr>
        <w:ind w:left="718" w:firstLine="1418" w:leftChars="342" w:firstLineChars="675"/>
        <w:rPr>
          <w:szCs w:val="21"/>
        </w:rPr>
      </w:pPr>
      <w:r>
        <w:rPr>
          <w:rFonts w:hint="eastAsia"/>
          <w:szCs w:val="21"/>
        </w:rPr>
        <w:t>（1）</w:t>
      </w:r>
      <w:bookmarkStart w:id="49" w:name="_Hlk72070784"/>
      <w:r>
        <w:rPr>
          <w:rFonts w:hint="eastAsia"/>
          <w:szCs w:val="21"/>
        </w:rPr>
        <w:t>投标函</w:t>
      </w:r>
      <w:bookmarkEnd w:id="49"/>
    </w:p>
    <w:p>
      <w:pPr>
        <w:ind w:left="718" w:firstLine="1418" w:leftChars="342" w:firstLineChars="675"/>
        <w:rPr>
          <w:szCs w:val="21"/>
        </w:rPr>
      </w:pPr>
      <w:r>
        <w:rPr>
          <w:rFonts w:hint="eastAsia"/>
          <w:szCs w:val="21"/>
        </w:rPr>
        <w:t>（2）</w:t>
      </w:r>
      <w:bookmarkStart w:id="50" w:name="_Hlk72062521"/>
      <w:r>
        <w:rPr>
          <w:rFonts w:hint="eastAsia"/>
          <w:szCs w:val="21"/>
        </w:rPr>
        <w:t>政府采购投标及履约承诺函</w:t>
      </w:r>
      <w:bookmarkEnd w:id="50"/>
    </w:p>
    <w:p>
      <w:pPr>
        <w:ind w:left="718" w:firstLine="1418" w:leftChars="342" w:firstLineChars="675"/>
        <w:rPr>
          <w:szCs w:val="21"/>
        </w:rPr>
      </w:pPr>
      <w:r>
        <w:rPr>
          <w:rFonts w:hint="eastAsia"/>
          <w:szCs w:val="21"/>
        </w:rPr>
        <w:t>（</w:t>
      </w:r>
      <w:r>
        <w:rPr>
          <w:szCs w:val="21"/>
        </w:rPr>
        <w:t>3</w:t>
      </w:r>
      <w:r>
        <w:rPr>
          <w:rFonts w:hint="eastAsia"/>
          <w:szCs w:val="21"/>
        </w:rPr>
        <w:t>）投标人情况及资格证明文件</w:t>
      </w:r>
    </w:p>
    <w:p>
      <w:pPr>
        <w:ind w:left="718" w:firstLine="1418" w:leftChars="342" w:firstLineChars="675"/>
        <w:rPr>
          <w:szCs w:val="21"/>
        </w:rPr>
      </w:pPr>
      <w:bookmarkStart w:id="51" w:name="_Hlk72257201"/>
      <w:r>
        <w:rPr>
          <w:rFonts w:hint="eastAsia"/>
          <w:szCs w:val="21"/>
        </w:rPr>
        <w:t>（</w:t>
      </w:r>
      <w:r>
        <w:rPr>
          <w:szCs w:val="21"/>
        </w:rPr>
        <w:t>4</w:t>
      </w:r>
      <w:r>
        <w:rPr>
          <w:rFonts w:hint="eastAsia"/>
          <w:szCs w:val="21"/>
        </w:rPr>
        <w:t>）项目详细报价</w:t>
      </w:r>
    </w:p>
    <w:p>
      <w:pPr>
        <w:ind w:left="718" w:firstLine="1418" w:leftChars="342" w:firstLineChars="675"/>
        <w:rPr>
          <w:szCs w:val="21"/>
        </w:rPr>
      </w:pPr>
      <w:r>
        <w:rPr>
          <w:rFonts w:hint="eastAsia"/>
          <w:szCs w:val="21"/>
        </w:rPr>
        <w:t>（5）投标人认证情况</w:t>
      </w:r>
    </w:p>
    <w:p>
      <w:pPr>
        <w:ind w:left="718" w:firstLine="1418" w:leftChars="342" w:firstLineChars="675"/>
        <w:rPr>
          <w:szCs w:val="21"/>
        </w:rPr>
      </w:pPr>
      <w:r>
        <w:rPr>
          <w:rFonts w:hint="eastAsia"/>
          <w:szCs w:val="21"/>
        </w:rPr>
        <w:t>（6）投标人同类业绩</w:t>
      </w:r>
    </w:p>
    <w:p>
      <w:pPr>
        <w:ind w:left="718" w:firstLine="1418" w:leftChars="342" w:firstLineChars="675"/>
        <w:rPr>
          <w:szCs w:val="21"/>
        </w:rPr>
      </w:pPr>
    </w:p>
    <w:p>
      <w:pPr>
        <w:ind w:firstLine="1050" w:firstLineChars="500"/>
        <w:outlineLvl w:val="0"/>
        <w:rPr>
          <w:rFonts w:ascii="宋体" w:hAnsi="宋体"/>
          <w:sz w:val="24"/>
        </w:rPr>
      </w:pPr>
      <w:bookmarkEnd w:id="51"/>
      <w:r>
        <w:rPr>
          <w:rFonts w:ascii="宋体" w:hAnsi="宋体" w:hint="eastAsia"/>
          <w:sz w:val="24"/>
        </w:rPr>
        <w:t>2.投标文件附件</w:t>
      </w:r>
      <w:r>
        <w:rPr>
          <w:rFonts w:ascii="宋体" w:hAnsi="宋体" w:hint="eastAsia"/>
          <w:b/>
          <w:color w:val="FF0000"/>
          <w:sz w:val="24"/>
        </w:rPr>
        <w:t>（信息不公开部分）</w:t>
      </w:r>
      <w:r>
        <w:rPr>
          <w:rFonts w:ascii="宋体" w:hAnsi="宋体" w:hint="eastAsia"/>
          <w:sz w:val="24"/>
        </w:rPr>
        <w:t>：主要包括以下内容：</w:t>
      </w:r>
    </w:p>
    <w:p>
      <w:pPr>
        <w:ind w:firstLine="2100" w:firstLineChars="1000"/>
        <w:rPr>
          <w:szCs w:val="21"/>
        </w:rPr>
      </w:pPr>
      <w:r>
        <w:rPr>
          <w:rFonts w:hint="eastAsia"/>
          <w:szCs w:val="21"/>
        </w:rPr>
        <w:t>（1）法定代表人（负责人）证明书</w:t>
      </w:r>
    </w:p>
    <w:p>
      <w:pPr>
        <w:ind w:left="718" w:firstLine="1418" w:leftChars="342" w:firstLineChars="675"/>
        <w:rPr>
          <w:szCs w:val="21"/>
        </w:rPr>
      </w:pPr>
      <w:r>
        <w:rPr>
          <w:rFonts w:hint="eastAsia"/>
          <w:szCs w:val="21"/>
        </w:rPr>
        <w:t>（2）投标文件签署授权委托书</w:t>
      </w:r>
    </w:p>
    <w:p>
      <w:pPr>
        <w:ind w:left="718" w:firstLine="1418" w:leftChars="342" w:firstLineChars="675"/>
        <w:rPr>
          <w:szCs w:val="21"/>
        </w:rPr>
      </w:pPr>
      <w:r>
        <w:rPr>
          <w:rFonts w:hint="eastAsia"/>
          <w:szCs w:val="21"/>
        </w:rPr>
        <w:t>（3）实质性条款响应情况表</w:t>
      </w:r>
    </w:p>
    <w:p>
      <w:pPr>
        <w:ind w:left="718" w:firstLine="1418" w:leftChars="342" w:firstLineChars="675"/>
        <w:rPr>
          <w:szCs w:val="21"/>
        </w:rPr>
      </w:pPr>
      <w:r>
        <w:rPr>
          <w:rFonts w:hint="eastAsia"/>
          <w:szCs w:val="21"/>
        </w:rPr>
        <w:t>（</w:t>
      </w:r>
      <w:r>
        <w:rPr>
          <w:szCs w:val="21"/>
        </w:rPr>
        <w:t>4</w:t>
      </w:r>
      <w:r>
        <w:rPr>
          <w:rFonts w:hint="eastAsia"/>
          <w:szCs w:val="21"/>
        </w:rPr>
        <w:t>）技术要求偏离表</w:t>
      </w:r>
    </w:p>
    <w:p>
      <w:pPr>
        <w:ind w:left="718" w:firstLine="1418" w:leftChars="342" w:firstLineChars="675"/>
        <w:rPr>
          <w:szCs w:val="21"/>
        </w:rPr>
      </w:pPr>
      <w:r>
        <w:rPr>
          <w:rFonts w:hint="eastAsia"/>
          <w:szCs w:val="21"/>
        </w:rPr>
        <w:t>（</w:t>
      </w:r>
      <w:r>
        <w:rPr>
          <w:szCs w:val="21"/>
        </w:rPr>
        <w:t>5</w:t>
      </w:r>
      <w:r>
        <w:rPr>
          <w:rFonts w:hint="eastAsia"/>
          <w:szCs w:val="21"/>
        </w:rPr>
        <w:t>）商务要求偏离表</w:t>
      </w:r>
    </w:p>
    <w:p>
      <w:pPr>
        <w:ind w:left="718" w:firstLine="1418" w:leftChars="342" w:firstLineChars="675"/>
        <w:rPr>
          <w:szCs w:val="21"/>
        </w:rPr>
      </w:pPr>
      <w:r>
        <w:rPr>
          <w:rFonts w:hint="eastAsia"/>
          <w:szCs w:val="21"/>
        </w:rPr>
        <w:t>（</w:t>
      </w:r>
      <w:r>
        <w:rPr>
          <w:szCs w:val="21"/>
        </w:rPr>
        <w:t>6</w:t>
      </w:r>
      <w:r>
        <w:rPr>
          <w:rFonts w:hint="eastAsia"/>
          <w:szCs w:val="21"/>
        </w:rPr>
        <w:t>）</w:t>
      </w:r>
      <w:bookmarkEnd w:id="48"/>
      <w:r>
        <w:rPr>
          <w:rFonts w:hint="eastAsia"/>
          <w:szCs w:val="21"/>
        </w:rPr>
        <w:t>技术保障措施</w:t>
      </w:r>
    </w:p>
    <w:p>
      <w:pPr>
        <w:ind w:left="718" w:firstLine="1418" w:leftChars="342" w:firstLineChars="675"/>
        <w:rPr>
          <w:szCs w:val="21"/>
        </w:rPr>
      </w:pPr>
      <w:r>
        <w:rPr>
          <w:rFonts w:hint="eastAsia"/>
          <w:szCs w:val="21"/>
        </w:rPr>
        <w:t>（</w:t>
      </w:r>
      <w:r>
        <w:rPr>
          <w:rFonts w:hint="eastAsia"/>
          <w:szCs w:val="21"/>
          <w:lang w:val="en-US" w:eastAsia="zh-CN"/>
        </w:rPr>
        <w:t>7</w:t>
      </w:r>
      <w:r>
        <w:rPr>
          <w:rFonts w:hint="eastAsia"/>
          <w:szCs w:val="21"/>
        </w:rPr>
        <w:t>）投标人认为需要加以说明的其他内容（格式自定）</w:t>
      </w:r>
    </w:p>
    <w:p>
      <w:pPr>
        <w:ind w:firstLine="424" w:firstLineChars="202"/>
        <w:rPr>
          <w:rFonts w:ascii="宋体" w:hAnsi="宋体"/>
          <w:b/>
          <w:szCs w:val="21"/>
        </w:rPr>
      </w:pPr>
      <w:bookmarkStart w:id="52" w:name="_Hlk72257771"/>
      <w:r>
        <w:rPr>
          <w:rFonts w:ascii="宋体" w:hAnsi="宋体" w:hint="eastAsia"/>
          <w:b/>
          <w:szCs w:val="21"/>
        </w:rPr>
        <w:t>备注：</w:t>
      </w:r>
    </w:p>
    <w:p>
      <w:pPr>
        <w:ind w:firstLine="424" w:firstLineChars="202"/>
        <w:rPr>
          <w:rFonts w:ascii="宋体" w:hAnsi="宋体"/>
          <w:b/>
          <w:szCs w:val="21"/>
        </w:rPr>
      </w:pPr>
      <w:r>
        <w:rPr>
          <w:rFonts w:ascii="宋体" w:hAnsi="宋体" w:hint="eastAsia"/>
          <w:b/>
          <w:szCs w:val="21"/>
        </w:rPr>
        <w:t>1.本项目为网上电子投标项目，投标文件不需法人或授权委托人另行签字，无需加盖单位公章，招标文件专用条款另有规定的除外。</w:t>
      </w:r>
    </w:p>
    <w:p>
      <w:pPr>
        <w:ind w:firstLine="420" w:firstLineChars="200"/>
        <w:rPr>
          <w:rFonts w:ascii="宋体" w:hAnsi="宋体"/>
          <w:color w:val="FF0000"/>
          <w:sz w:val="24"/>
        </w:rPr>
      </w:pPr>
      <w:bookmarkStart w:id="53" w:name="_Hlk72263559"/>
      <w:r>
        <w:rPr>
          <w:rFonts w:ascii="宋体" w:hAnsi="宋体" w:hint="eastAsia"/>
          <w:b/>
          <w:szCs w:val="21"/>
        </w:rPr>
        <w:t>2.关于填写“开标一览表”的说明：“开标一览表”中除“投标总价”外，其他信息不作评审依据。</w:t>
      </w:r>
      <w:bookmarkEnd w:id="52"/>
      <w:bookmarkEnd w:id="53"/>
    </w:p>
    <w:p>
      <w:pPr>
        <w:rPr>
          <w:rFonts w:ascii="宋体" w:hAnsi="宋体"/>
          <w:color w:val="FF0000"/>
          <w:sz w:val="24"/>
        </w:rPr>
      </w:pPr>
    </w:p>
    <w:p>
      <w:pPr>
        <w:widowControl/>
        <w:jc w:val="left"/>
        <w:rPr>
          <w:rFonts w:ascii="宋体" w:hAnsi="宋体"/>
          <w:color w:val="FF0000"/>
          <w:sz w:val="24"/>
        </w:rPr>
      </w:pPr>
      <w:r>
        <w:rPr>
          <w:rFonts w:ascii="宋体" w:hAnsi="宋体"/>
          <w:color w:val="FF0000"/>
          <w:sz w:val="24"/>
        </w:rPr>
        <w:br w:type="page"/>
      </w:r>
    </w:p>
    <w:p>
      <w:pPr>
        <w:rPr>
          <w:rFonts w:ascii="宋体" w:hAnsi="宋体"/>
          <w:color w:val="FF0000"/>
          <w:sz w:val="24"/>
        </w:rPr>
      </w:pPr>
    </w:p>
    <w:p>
      <w:pPr>
        <w:outlineLvl w:val="1"/>
        <w:rPr>
          <w:rFonts w:ascii="宋体" w:hAnsi="宋体"/>
          <w:b/>
          <w:color w:val="FF0000"/>
          <w:sz w:val="28"/>
          <w:szCs w:val="28"/>
        </w:rPr>
      </w:pPr>
      <w:r>
        <w:rPr>
          <w:rFonts w:ascii="宋体" w:hAnsi="宋体" w:hint="eastAsia"/>
          <w:b/>
          <w:color w:val="FF0000"/>
          <w:sz w:val="28"/>
          <w:szCs w:val="28"/>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bookmarkStart w:id="54" w:name="_Hlk72257506"/>
      <w:r>
        <w:rPr>
          <w:rFonts w:ascii="宋体" w:hAnsi="宋体" w:hint="eastAsia"/>
          <w:szCs w:val="21"/>
        </w:rPr>
        <w:t>致：</w:t>
      </w:r>
      <w:r>
        <w:rPr>
          <w:rFonts w:ascii="宋体" w:hAnsi="宋体" w:hint="eastAsia"/>
          <w:color w:val="FF0000"/>
          <w:szCs w:val="21"/>
          <w:u w:val="single"/>
        </w:rPr>
        <w:t>深圳公共资源交易中心</w:t>
      </w:r>
    </w:p>
    <w:p>
      <w:pPr>
        <w:ind w:firstLine="420" w:firstLineChars="200"/>
        <w:rPr>
          <w:rFonts w:ascii="宋体" w:hAnsi="宋体"/>
          <w:szCs w:val="21"/>
        </w:rPr>
      </w:pPr>
      <w:bookmarkStart w:id="55" w:name="_Hlk73818812"/>
      <w:r>
        <w:rPr>
          <w:rFonts w:hint="eastAsia"/>
          <w:szCs w:val="21"/>
        </w:rPr>
        <w:t>1、根据已收到贵单位的项目编号为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的</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项目的招标文件，遵照《深圳经济特区政府采购条例》和《深圳网上政府采购管理暂行办法》等有关规定，我单位经研究上述招标文件的专用条款及通用条款后，</w:t>
      </w:r>
      <w:bookmarkStart w:id="56" w:name="_Hlk72263588"/>
      <w:r>
        <w:rPr>
          <w:rFonts w:hint="eastAsia"/>
          <w:szCs w:val="21"/>
        </w:rPr>
        <w:t>愿意按照招标文件要求承包上述项目并修补其任何缺陷。</w:t>
      </w:r>
      <w:bookmarkEnd w:id="56"/>
    </w:p>
    <w:p>
      <w:pPr>
        <w:ind w:firstLine="420" w:firstLineChars="200"/>
        <w:rPr>
          <w:rFonts w:ascii="宋体" w:hAnsi="宋体"/>
          <w:szCs w:val="21"/>
        </w:rPr>
      </w:pPr>
      <w:r>
        <w:rPr>
          <w:rFonts w:ascii="宋体" w:hAnsi="宋体"/>
          <w:szCs w:val="21"/>
        </w:rPr>
        <w:t>2</w:t>
      </w:r>
      <w:r>
        <w:rPr>
          <w:rFonts w:ascii="宋体" w:hAnsi="宋体" w:hint="eastAsia"/>
          <w:szCs w:val="21"/>
        </w:rPr>
        <w:t>、</w:t>
      </w:r>
      <w:bookmarkStart w:id="57" w:name="_Hlk73819847"/>
      <w:r>
        <w:rPr>
          <w:rFonts w:ascii="宋体" w:hAnsi="宋体" w:hint="eastAsia"/>
          <w:szCs w:val="21"/>
        </w:rPr>
        <w:t>投标价格见投标书编制软件中《开标一览表》中填写的投标报价</w:t>
      </w:r>
      <w:r>
        <w:rPr>
          <w:rFonts w:hint="eastAsia"/>
          <w:szCs w:val="21"/>
        </w:rPr>
        <w:t>。</w:t>
      </w:r>
      <w:bookmarkEnd w:id="57"/>
    </w:p>
    <w:p>
      <w:pPr>
        <w:ind w:firstLine="420" w:firstLineChars="200"/>
        <w:rPr>
          <w:rFonts w:ascii="宋体" w:hAnsi="宋体"/>
          <w:szCs w:val="21"/>
        </w:rPr>
      </w:pPr>
      <w:r>
        <w:rPr>
          <w:rFonts w:ascii="宋体" w:hAnsi="宋体" w:hint="eastAsia"/>
          <w:szCs w:val="21"/>
        </w:rPr>
        <w:t>3、如果我单位中标，我单位将按照招标文件的要求提交履约担保。</w:t>
      </w:r>
    </w:p>
    <w:p>
      <w:pPr>
        <w:ind w:firstLine="42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firstLine="420" w:firstLineChars="200"/>
        <w:rPr>
          <w:rFonts w:ascii="宋体" w:hAnsi="宋体"/>
          <w:szCs w:val="21"/>
        </w:rPr>
      </w:pPr>
      <w:r>
        <w:rPr>
          <w:rFonts w:ascii="宋体" w:hAnsi="宋体" w:hint="eastAsia"/>
          <w:szCs w:val="21"/>
        </w:rPr>
        <w:t>6、我单位理解贵单位将不受必须接受所收到的最低报价或其它任何投标文件的约束。</w:t>
      </w:r>
      <w:bookmarkEnd w:id="55"/>
    </w:p>
    <w:p>
      <w:pPr>
        <w:ind w:firstLine="420" w:firstLineChars="200"/>
        <w:rPr>
          <w:rFonts w:ascii="宋体" w:hAnsi="宋体"/>
          <w:szCs w:val="21"/>
        </w:rPr>
      </w:pPr>
      <w:r>
        <w:rPr>
          <w:rFonts w:ascii="宋体" w:hAnsi="宋体" w:hint="eastAsia"/>
          <w:szCs w:val="21"/>
        </w:rPr>
        <w:t>7、如我单位按项目要求提供样品，且未在规定时间内取回样品的，视同放弃取回，同意深圳公共资源交易中心对样品进行清理。</w:t>
      </w:r>
    </w:p>
    <w:p>
      <w:pPr>
        <w:ind w:left="540" w:leftChars="257"/>
        <w:rPr>
          <w:szCs w:val="21"/>
        </w:rPr>
      </w:pPr>
      <w:r>
        <w:rPr>
          <w:rFonts w:hint="eastAsia"/>
          <w:szCs w:val="21"/>
        </w:rPr>
        <w:t>投标人：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单位地址：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邮政编码：</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u w:val="single"/>
        </w:rPr>
      </w:pPr>
      <w:r>
        <w:rPr>
          <w:rFonts w:hint="eastAsia"/>
          <w:szCs w:val="21"/>
        </w:rPr>
        <w:t>邮箱：</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40" w:firstLineChars="257"/>
        <w:rPr>
          <w:sz w:val="24"/>
        </w:rPr>
      </w:pPr>
      <w:r>
        <w:rPr>
          <w:rFonts w:ascii="宋体" w:hAnsi="宋体" w:hint="eastAsia"/>
          <w:szCs w:val="21"/>
        </w:rPr>
        <w:t>日期：</w:t>
      </w:r>
      <w:r>
        <w:rPr>
          <w:rFonts w:hint="eastAsia"/>
          <w:szCs w:val="21"/>
          <w:u w:val="single"/>
        </w:rPr>
        <w:tab/>
      </w:r>
      <w:r>
        <w:rPr>
          <w:rFonts w:hint="eastAsia"/>
          <w:szCs w:val="21"/>
          <w:u w:val="single"/>
        </w:rPr>
        <w:tab/>
      </w:r>
      <w:r>
        <w:rPr>
          <w:rFonts w:ascii="宋体" w:hAnsi="宋体" w:hint="eastAsia"/>
          <w:szCs w:val="21"/>
        </w:rPr>
        <w:t>年</w:t>
      </w:r>
      <w:r>
        <w:rPr>
          <w:rFonts w:hint="eastAsia"/>
          <w:szCs w:val="21"/>
          <w:u w:val="single"/>
        </w:rPr>
        <w:tab/>
      </w:r>
      <w:r>
        <w:rPr>
          <w:rFonts w:hint="eastAsia"/>
          <w:szCs w:val="21"/>
          <w:u w:val="single"/>
        </w:rPr>
        <w:tab/>
      </w:r>
      <w:r>
        <w:rPr>
          <w:rFonts w:ascii="宋体" w:hAnsi="宋体" w:hint="eastAsia"/>
          <w:szCs w:val="21"/>
        </w:rPr>
        <w:t>月</w:t>
      </w:r>
      <w:r>
        <w:rPr>
          <w:rFonts w:hint="eastAsia"/>
          <w:szCs w:val="21"/>
          <w:u w:val="single"/>
        </w:rPr>
        <w:tab/>
      </w:r>
      <w:r>
        <w:rPr>
          <w:rFonts w:hint="eastAsia"/>
          <w:szCs w:val="21"/>
          <w:u w:val="single"/>
        </w:rPr>
        <w:tab/>
      </w:r>
      <w:r>
        <w:rPr>
          <w:rFonts w:ascii="宋体" w:hAnsi="宋体" w:hint="eastAsia"/>
          <w:szCs w:val="21"/>
        </w:rPr>
        <w:t>日</w:t>
      </w:r>
    </w:p>
    <w:p>
      <w:pPr>
        <w:rPr>
          <w:rFonts w:ascii="黑体" w:eastAsia="黑体" w:hAnsi="宋体"/>
        </w:rPr>
      </w:pPr>
    </w:p>
    <w:p>
      <w:pPr>
        <w:pStyle w:val="Heading3"/>
        <w:jc w:val="center"/>
        <w:rPr>
          <w:rFonts w:ascii="黑体" w:eastAsia="黑体"/>
          <w:b w:val="0"/>
          <w:sz w:val="24"/>
        </w:rPr>
      </w:pPr>
      <w:bookmarkEnd w:id="54"/>
      <w:r>
        <w:rPr>
          <w:rFonts w:ascii="黑体" w:eastAsia="黑体" w:hint="eastAsia"/>
          <w:b w:val="0"/>
          <w:sz w:val="24"/>
        </w:rPr>
        <w:t>二、政府采购投标及履约承诺函</w:t>
      </w:r>
    </w:p>
    <w:p>
      <w:pPr>
        <w:rPr>
          <w:rFonts w:ascii="宋体" w:hAnsi="宋体"/>
          <w:color w:val="FF0000"/>
          <w:szCs w:val="21"/>
        </w:rPr>
      </w:pPr>
      <w:bookmarkStart w:id="58" w:name="_Hlk72257530"/>
      <w:r>
        <w:rPr>
          <w:rFonts w:ascii="宋体" w:hAnsi="宋体" w:hint="eastAsia"/>
          <w:color w:val="FF0000"/>
          <w:szCs w:val="21"/>
        </w:rPr>
        <w:t>致：</w:t>
      </w:r>
      <w:r>
        <w:rPr>
          <w:rFonts w:ascii="宋体" w:hAnsi="宋体" w:hint="eastAsia"/>
          <w:color w:val="FF0000"/>
          <w:szCs w:val="21"/>
          <w:u w:val="single"/>
        </w:rPr>
        <w:t>深圳公共资源交易中心</w:t>
      </w:r>
    </w:p>
    <w:p>
      <w:pPr>
        <w:ind w:right="-815" w:firstLine="420" w:firstLineChars="200"/>
        <w:rPr>
          <w:rFonts w:ascii="宋体" w:hAnsi="宋体"/>
          <w:szCs w:val="21"/>
        </w:rPr>
      </w:pPr>
      <w:r>
        <w:rPr>
          <w:rFonts w:ascii="宋体" w:hAnsi="宋体" w:hint="eastAsia"/>
          <w:szCs w:val="21"/>
        </w:rPr>
        <w:t>我单位承诺：</w:t>
      </w:r>
    </w:p>
    <w:p>
      <w:pPr>
        <w:ind w:firstLine="420" w:firstLineChars="200"/>
        <w:rPr>
          <w:rFonts w:ascii="宋体" w:hAnsi="宋体"/>
          <w:szCs w:val="21"/>
        </w:rPr>
      </w:pPr>
      <w:r>
        <w:rPr>
          <w:rFonts w:ascii="宋体" w:hAnsi="宋体" w:hint="eastAsia"/>
          <w:szCs w:val="21"/>
        </w:rPr>
        <w:t>1.我单位参与本项目所投标（响应）的货物、工程或服务，不存在侵犯知识产权的情况；已知悉并同意中标（成交）结果信息公示（公开）的内容。</w:t>
      </w:r>
    </w:p>
    <w:p>
      <w:pPr>
        <w:ind w:firstLine="420" w:firstLineChars="200"/>
        <w:rPr>
          <w:rFonts w:ascii="宋体" w:hAnsi="宋体"/>
          <w:szCs w:val="21"/>
        </w:rPr>
      </w:pPr>
      <w:r>
        <w:rPr>
          <w:rFonts w:ascii="宋体" w:hAnsi="宋体" w:hint="eastAsia"/>
          <w:szCs w:val="21"/>
        </w:rPr>
        <w:t>2.我单位参与该项目投标，符合招标文件关于联合体及进口产品的相关资格要求。</w:t>
      </w:r>
    </w:p>
    <w:p>
      <w:pPr>
        <w:ind w:firstLine="42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ascii="宋体" w:hAnsi="宋体" w:hint="eastAsia"/>
          <w:szCs w:val="21"/>
        </w:rPr>
        <w:t>4.我单位具备《中华人民共和国政府采购法》第二十二条的条件。</w:t>
      </w:r>
    </w:p>
    <w:p>
      <w:pPr>
        <w:ind w:firstLine="42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20" w:firstLineChars="200"/>
        <w:rPr>
          <w:rFonts w:ascii="宋体" w:hAnsi="宋体"/>
          <w:szCs w:val="21"/>
        </w:rPr>
      </w:pPr>
      <w:r>
        <w:rPr>
          <w:rFonts w:ascii="宋体" w:hAnsi="宋体" w:hint="eastAsia"/>
          <w:szCs w:val="21"/>
        </w:rPr>
        <w:t>6.</w:t>
      </w:r>
      <w:bookmarkStart w:id="59" w:name="_Hlk72587269"/>
      <w:bookmarkStart w:id="60"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9"/>
      <w:r>
        <w:rPr>
          <w:rFonts w:ascii="宋体" w:hAnsi="宋体" w:hint="eastAsia"/>
          <w:szCs w:val="21"/>
        </w:rPr>
        <w:t>。</w:t>
      </w:r>
    </w:p>
    <w:p>
      <w:pPr>
        <w:ind w:firstLine="420" w:firstLineChars="200"/>
        <w:rPr>
          <w:rFonts w:ascii="宋体" w:hAnsi="宋体"/>
          <w:szCs w:val="21"/>
        </w:rPr>
      </w:pPr>
      <w:bookmarkEnd w:id="60"/>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2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20" w:firstLineChars="200"/>
        <w:rPr>
          <w:rFonts w:ascii="宋体" w:hAnsi="宋体"/>
        </w:rPr>
      </w:pPr>
      <w:r>
        <w:rPr>
          <w:rFonts w:ascii="宋体" w:hAnsi="宋体" w:hint="eastAsia"/>
        </w:rPr>
        <w:t>12. 我单位保证，不存在“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的情形。</w:t>
      </w:r>
    </w:p>
    <w:p>
      <w:pPr>
        <w:ind w:firstLine="420" w:firstLineChars="200"/>
        <w:rPr>
          <w:rFonts w:ascii="宋体" w:hAnsi="宋体"/>
        </w:rPr>
      </w:pPr>
      <w:r>
        <w:rPr>
          <w:rFonts w:ascii="宋体" w:hAnsi="宋体" w:hint="eastAsia"/>
        </w:rPr>
        <w:t>13.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p>
    <w:p>
      <w:pPr>
        <w:spacing w:before="60" w:beforeLines="25" w:after="60" w:afterLines="25"/>
        <w:jc w:val="right"/>
        <w:rPr>
          <w:color w:val="FF0000"/>
        </w:rPr>
      </w:pPr>
      <w:r>
        <w:rPr>
          <w:rFonts w:hint="eastAsia"/>
          <w:color w:val="FF0000"/>
          <w:szCs w:val="21"/>
        </w:rPr>
        <w:t>投标人：</w:t>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r>
        <w:rPr>
          <w:rFonts w:hint="eastAsia"/>
          <w:color w:val="FF0000"/>
          <w:szCs w:val="21"/>
          <w:u w:val="single"/>
        </w:rPr>
        <w:tab/>
      </w:r>
    </w:p>
    <w:p>
      <w:pPr>
        <w:ind w:firstLine="645"/>
        <w:rPr>
          <w:rFonts w:ascii="宋体" w:hAnsi="宋体"/>
          <w:color w:val="FF0000"/>
          <w:szCs w:val="21"/>
        </w:rPr>
      </w:pPr>
      <w:r>
        <w:rPr>
          <w:rFonts w:ascii="宋体" w:hAnsi="宋体" w:hint="eastAsia"/>
          <w:color w:val="FF0000"/>
          <w:szCs w:val="21"/>
        </w:rPr>
        <w:t xml:space="preserve">                                           日期：</w:t>
      </w:r>
      <w:r>
        <w:rPr>
          <w:rFonts w:hint="eastAsia"/>
          <w:color w:val="FF0000"/>
          <w:szCs w:val="21"/>
          <w:u w:val="single"/>
        </w:rPr>
        <w:tab/>
      </w:r>
      <w:r>
        <w:rPr>
          <w:rFonts w:hint="eastAsia"/>
          <w:color w:val="FF0000"/>
          <w:szCs w:val="21"/>
          <w:u w:val="single"/>
        </w:rPr>
        <w:tab/>
      </w:r>
      <w:r>
        <w:rPr>
          <w:rFonts w:ascii="宋体" w:hAnsi="宋体" w:hint="eastAsia"/>
          <w:color w:val="FF0000"/>
          <w:szCs w:val="21"/>
        </w:rPr>
        <w:t>年</w:t>
      </w:r>
      <w:r>
        <w:rPr>
          <w:rFonts w:hint="eastAsia"/>
          <w:color w:val="FF0000"/>
          <w:szCs w:val="21"/>
          <w:u w:val="single"/>
        </w:rPr>
        <w:tab/>
      </w:r>
      <w:r>
        <w:rPr>
          <w:rFonts w:hint="eastAsia"/>
          <w:color w:val="FF0000"/>
          <w:szCs w:val="21"/>
          <w:u w:val="single"/>
        </w:rPr>
        <w:tab/>
      </w:r>
      <w:r>
        <w:rPr>
          <w:rFonts w:ascii="宋体" w:hAnsi="宋体" w:hint="eastAsia"/>
          <w:color w:val="FF0000"/>
          <w:szCs w:val="21"/>
        </w:rPr>
        <w:t>月</w:t>
      </w:r>
      <w:r>
        <w:rPr>
          <w:rFonts w:hint="eastAsia"/>
          <w:color w:val="FF0000"/>
          <w:szCs w:val="21"/>
          <w:u w:val="single"/>
        </w:rPr>
        <w:tab/>
      </w:r>
      <w:r>
        <w:rPr>
          <w:rFonts w:hint="eastAsia"/>
          <w:color w:val="FF0000"/>
          <w:szCs w:val="21"/>
          <w:u w:val="single"/>
        </w:rPr>
        <w:tab/>
      </w:r>
      <w:r>
        <w:rPr>
          <w:rFonts w:ascii="宋体" w:hAnsi="宋体" w:hint="eastAsia"/>
          <w:color w:val="FF0000"/>
          <w:szCs w:val="21"/>
        </w:rPr>
        <w:t>日</w:t>
      </w:r>
    </w:p>
    <w:p>
      <w:pPr>
        <w:rPr>
          <w:rFonts w:ascii="宋体"/>
          <w:b/>
          <w:szCs w:val="21"/>
        </w:rPr>
      </w:pPr>
      <w:bookmarkEnd w:id="58"/>
    </w:p>
    <w:p>
      <w:pPr>
        <w:ind w:firstLine="420" w:firstLineChars="200"/>
        <w:jc w:val="center"/>
        <w:rPr>
          <w:rFonts w:hAnsi="宋体"/>
          <w:b/>
          <w:bCs/>
          <w:sz w:val="24"/>
        </w:rPr>
      </w:pPr>
    </w:p>
    <w:p>
      <w:pPr>
        <w:pStyle w:val="Heading3"/>
        <w:jc w:val="center"/>
        <w:rPr>
          <w:rFonts w:ascii="黑体" w:eastAsia="黑体"/>
          <w:b w:val="0"/>
          <w:sz w:val="24"/>
          <w:szCs w:val="24"/>
        </w:rPr>
      </w:pPr>
      <w:r>
        <w:rPr>
          <w:rFonts w:ascii="黑体" w:eastAsia="黑体" w:hint="eastAsia"/>
          <w:b w:val="0"/>
          <w:sz w:val="24"/>
          <w:szCs w:val="24"/>
        </w:rPr>
        <w:t>三、投标人情况及资格证明文件</w:t>
      </w:r>
    </w:p>
    <w:p>
      <w:pPr>
        <w:jc w:val="left"/>
        <w:outlineLvl w:val="3"/>
        <w:rPr>
          <w:rFonts w:ascii="黑体" w:eastAsia="黑体" w:hAnsi="宋体"/>
          <w:bCs/>
          <w:kern w:val="0"/>
          <w:sz w:val="24"/>
          <w:szCs w:val="32"/>
        </w:rPr>
      </w:pPr>
      <w:bookmarkStart w:id="61" w:name="_Hlk72257590"/>
      <w:r>
        <w:rPr>
          <w:rFonts w:ascii="黑体" w:eastAsia="黑体" w:hAnsi="宋体" w:hint="eastAsia"/>
          <w:bCs/>
          <w:kern w:val="0"/>
          <w:sz w:val="24"/>
          <w:szCs w:val="32"/>
        </w:rPr>
        <w:t>（一）投标人资格证明文件</w:t>
      </w:r>
    </w:p>
    <w:p>
      <w:pPr>
        <w:spacing w:before="120" w:beforeLines="50"/>
        <w:ind w:firstLine="420"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w:t>
      </w:r>
    </w:p>
    <w:p>
      <w:pPr>
        <w:rPr>
          <w:b/>
          <w:sz w:val="22"/>
        </w:rPr>
      </w:pPr>
    </w:p>
    <w:p>
      <w:pPr>
        <w:outlineLvl w:val="3"/>
        <w:rPr>
          <w:rFonts w:ascii="黑体" w:eastAsia="黑体" w:hAnsi="宋体"/>
          <w:bCs/>
          <w:kern w:val="0"/>
          <w:sz w:val="24"/>
          <w:szCs w:val="32"/>
        </w:rPr>
      </w:pPr>
      <w:r>
        <w:rPr>
          <w:rFonts w:ascii="黑体" w:eastAsia="黑体" w:hAnsi="宋体" w:hint="eastAsia"/>
          <w:bCs/>
          <w:kern w:val="0"/>
          <w:sz w:val="24"/>
          <w:szCs w:val="32"/>
        </w:rPr>
        <w:t>（二）</w:t>
      </w:r>
      <w:bookmarkStart w:id="62" w:name="_Hlk72257908"/>
      <w:r>
        <w:rPr>
          <w:rFonts w:ascii="黑体" w:eastAsia="黑体" w:hAnsi="宋体" w:hint="eastAsia"/>
          <w:bCs/>
          <w:kern w:val="0"/>
          <w:sz w:val="24"/>
          <w:szCs w:val="32"/>
        </w:rPr>
        <w:t>中小企业声明函、残疾人福利性单位声明函及监狱企业声明函</w:t>
      </w:r>
    </w:p>
    <w:p>
      <w:pPr>
        <w:rPr>
          <w:b/>
          <w:bCs/>
          <w:color w:val="FF0000"/>
        </w:rPr>
      </w:pPr>
      <w:bookmarkEnd w:id="61"/>
      <w:r>
        <w:rPr>
          <w:rFonts w:hint="eastAsia"/>
          <w:b/>
          <w:bCs/>
          <w:color w:val="FF0000"/>
        </w:rPr>
        <w:t>填写指引：</w:t>
      </w:r>
    </w:p>
    <w:p>
      <w:pPr>
        <w:rPr>
          <w:b/>
          <w:bCs/>
          <w:color w:val="FF0000"/>
        </w:rPr>
      </w:pPr>
      <w:r>
        <w:rPr>
          <w:rFonts w:hint="eastAsia"/>
          <w:b/>
          <w:bCs/>
          <w:color w:val="FF0000"/>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rPr>
          <w:b/>
          <w:bCs/>
          <w:color w:val="FF0000"/>
        </w:rPr>
      </w:pPr>
      <w:r>
        <w:rPr>
          <w:rFonts w:hint="eastAsia"/>
          <w:b/>
          <w:bCs/>
          <w:color w:val="FF0000"/>
        </w:rPr>
        <w:t>2、该部分内容填写需要参考的相关文件：(</w:t>
      </w:r>
      <w:r>
        <w:rPr>
          <w:b/>
          <w:bCs/>
          <w:color w:val="FF0000"/>
        </w:rPr>
        <w:t>1</w:t>
      </w:r>
      <w:r>
        <w:rPr>
          <w:rFonts w:hint="eastAsia"/>
          <w:b/>
          <w:bCs/>
          <w:color w:val="FF0000"/>
        </w:rPr>
        <w:t>)财政部《政府采购促进中小企业发展管理办法》（财库〔2020〕46号）；(</w:t>
      </w:r>
      <w:r>
        <w:rPr>
          <w:b/>
          <w:bCs/>
          <w:color w:val="FF0000"/>
        </w:rPr>
        <w:t>2</w:t>
      </w:r>
      <w:r>
        <w:rPr>
          <w:rFonts w:hint="eastAsia"/>
          <w:b/>
          <w:bCs/>
          <w:color w:val="FF0000"/>
        </w:rPr>
        <w:t>)《工业和信息化部、国家统计局、国家发展和改革委员会、财政部关于印发中小企业划型标准规定的通知》（工信部联企业〔2011〕300 号，以下简称3</w:t>
      </w:r>
      <w:r>
        <w:rPr>
          <w:b/>
          <w:bCs/>
          <w:color w:val="FF0000"/>
        </w:rPr>
        <w:t>00</w:t>
      </w:r>
      <w:r>
        <w:rPr>
          <w:rFonts w:hint="eastAsia"/>
          <w:b/>
          <w:bCs/>
          <w:color w:val="FF0000"/>
        </w:rPr>
        <w:t>号文）。</w:t>
      </w:r>
    </w:p>
    <w:p>
      <w:pPr>
        <w:rPr>
          <w:b/>
          <w:bCs/>
          <w:color w:val="FF0000"/>
        </w:rPr>
      </w:pPr>
      <w:r>
        <w:rPr>
          <w:rFonts w:hint="eastAsia"/>
          <w:b/>
          <w:bCs/>
          <w:color w:val="FF0000"/>
        </w:rPr>
        <w:t>3、请依照提供的格式和内容填写声明函，不要随意变更格式；声明函不需要盖章或签字；满足多项优惠政策的投标人，不重复享受多项价格扣除政策。</w:t>
      </w:r>
    </w:p>
    <w:p>
      <w:pPr>
        <w:rPr>
          <w:b/>
          <w:bCs/>
          <w:color w:val="FF0000"/>
        </w:rPr>
      </w:pPr>
      <w:r>
        <w:rPr>
          <w:rFonts w:hint="eastAsia"/>
          <w:b/>
          <w:bCs/>
          <w:color w:val="FF0000"/>
        </w:rPr>
        <w:t>4、声明函具体填写要求：</w:t>
      </w:r>
    </w:p>
    <w:p>
      <w:pPr>
        <w:rPr>
          <w:b/>
          <w:bCs/>
          <w:color w:val="FF0000"/>
        </w:rPr>
      </w:pPr>
      <w:r>
        <w:rPr>
          <w:rFonts w:hint="eastAsia"/>
          <w:b/>
          <w:bCs/>
          <w:color w:val="FF0000"/>
        </w:rPr>
        <w:t>（1）声明是中小企业须填写《中小企业声明函》（货物）的以下内容：</w:t>
      </w:r>
    </w:p>
    <w:p>
      <w:pPr>
        <w:rPr>
          <w:b/>
          <w:bCs/>
          <w:color w:val="FF0000"/>
        </w:rPr>
      </w:pPr>
      <w:r>
        <w:rPr>
          <w:rFonts w:hint="eastAsia"/>
          <w:b/>
          <w:bCs/>
          <w:color w:val="FF0000"/>
        </w:rPr>
        <w:t>第一处，在“单位名称”下划线处如实填写采购人名称（深圳公共资源交易中心不是本项目的采购人，而是组织实施机构）；</w:t>
      </w:r>
    </w:p>
    <w:p>
      <w:pPr>
        <w:rPr>
          <w:b/>
          <w:bCs/>
          <w:color w:val="FF0000"/>
        </w:rPr>
      </w:pPr>
      <w:r>
        <w:rPr>
          <w:rFonts w:hint="eastAsia"/>
          <w:b/>
          <w:bCs/>
          <w:color w:val="FF0000"/>
        </w:rPr>
        <w:t>第二处，在“项目名称”下划线处如实填写采购项目名称；</w:t>
      </w:r>
    </w:p>
    <w:p>
      <w:pPr>
        <w:rPr>
          <w:b/>
          <w:bCs/>
          <w:color w:val="FF0000"/>
        </w:rPr>
      </w:pPr>
      <w:r>
        <w:rPr>
          <w:rFonts w:hint="eastAsia"/>
          <w:b/>
          <w:bCs/>
          <w:color w:val="FF0000"/>
        </w:rPr>
        <w:t>第三处，在“标的名称”下划线处填写所采购货物（标的）的具体名称（以招标文件第一册第三章用户需求书“货物需求明细”的“货物名称”一栏为准）；如果涉及多项货物（标的）为同一企业制造，“标的名称”下划线处可以如实填写多项货物；</w:t>
      </w:r>
    </w:p>
    <w:p>
      <w:pPr>
        <w:rPr>
          <w:b/>
          <w:bCs/>
          <w:color w:val="FF0000"/>
        </w:rPr>
      </w:pPr>
      <w:r>
        <w:rPr>
          <w:rFonts w:hint="eastAsia"/>
          <w:b/>
          <w:bCs/>
          <w:color w:val="FF0000"/>
        </w:rPr>
        <w:t>第四处，在“采购文件中明确的所属行业”下划线处填写采购标的对应的中小企业划分标准所属行业（所属行业可在招标文件第一册第二章“对通用条款的补充内容及其他关键信息”章节查看）；</w:t>
      </w:r>
    </w:p>
    <w:p>
      <w:pPr>
        <w:rPr>
          <w:b/>
          <w:bCs/>
          <w:color w:val="FF0000"/>
        </w:rPr>
      </w:pPr>
      <w:r>
        <w:rPr>
          <w:rFonts w:hint="eastAsia"/>
          <w:b/>
          <w:bCs/>
          <w:color w:val="FF0000"/>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rPr>
          <w:b/>
          <w:bCs/>
          <w:color w:val="FF0000"/>
        </w:rPr>
      </w:pPr>
      <w:r>
        <w:rPr>
          <w:rFonts w:hint="eastAsia"/>
          <w:b/>
          <w:bCs/>
          <w:color w:val="FF0000"/>
        </w:rPr>
        <w:t>（2）声明是残疾人福利性单位须填写《残疾人福利性单位声明函》（货物类）的相关内容，具体参照上述针对《中小企业声明函》的填写要求进行填写。</w:t>
      </w:r>
    </w:p>
    <w:p>
      <w:pPr>
        <w:rPr>
          <w:b/>
          <w:bCs/>
          <w:color w:val="FF0000"/>
        </w:rPr>
      </w:pPr>
      <w:r>
        <w:rPr>
          <w:rFonts w:hint="eastAsia"/>
          <w:b/>
          <w:bCs/>
          <w:color w:val="FF0000"/>
        </w:rPr>
        <w:t>（3）声明是监狱企业须填写《监狱企业声明函》的三项内容（填写位置的字体已加粗），具体参照上述针对《中小企业声明函》的填写要求进行填写。</w:t>
      </w:r>
    </w:p>
    <w:p>
      <w:pPr>
        <w:rPr>
          <w:b/>
          <w:bCs/>
        </w:rPr>
      </w:pPr>
      <w:r>
        <w:rPr>
          <w:rFonts w:hint="eastAsia"/>
          <w:b/>
          <w:bCs/>
          <w:color w:val="FF0000"/>
        </w:rPr>
        <w:t>5、声明函的有效性最终由评审委员会判定；如评审委员会判定声明函无效，相关供应商不享受价格扣除（但不作投标无效处理）。</w:t>
      </w:r>
    </w:p>
    <w:p>
      <w:pPr>
        <w:rPr>
          <w:rFonts w:ascii="Calibri" w:hAnsi="Calibri"/>
        </w:rPr>
      </w:pPr>
    </w:p>
    <w:p>
      <w:pPr>
        <w:jc w:val="center"/>
        <w:rPr>
          <w:b/>
          <w:sz w:val="24"/>
        </w:rPr>
      </w:pPr>
      <w:r>
        <w:rPr>
          <w:rFonts w:hint="eastAsia"/>
          <w:b/>
          <w:sz w:val="24"/>
        </w:rPr>
        <w:t>1、</w:t>
      </w:r>
      <w:r>
        <w:rPr>
          <w:b/>
          <w:sz w:val="24"/>
        </w:rPr>
        <w:t xml:space="preserve">中小企业声明函（货物） </w:t>
      </w:r>
    </w:p>
    <w:p>
      <w:pPr>
        <w:ind w:firstLine="420" w:firstLineChars="200"/>
        <w:rPr>
          <w:rFonts w:ascii="宋体" w:hAnsi="宋体"/>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w:t>
      </w:r>
      <w:r>
        <w:rPr>
          <w:rFonts w:ascii="宋体" w:hAnsi="宋体" w:hint="eastAsia"/>
          <w:szCs w:val="21"/>
        </w:rPr>
        <w:t>（含联合体中的中小企业、签订分包意向协议的中小企业）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szCs w:val="21"/>
        </w:rPr>
        <w:t xml:space="preserve">； </w:t>
      </w:r>
    </w:p>
    <w:p>
      <w:pPr>
        <w:ind w:firstLine="420" w:firstLineChars="20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采购</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w:t>
      </w:r>
      <w:r>
        <w:rPr>
          <w:rFonts w:ascii="宋体" w:hAnsi="宋体" w:hint="eastAsia"/>
          <w:szCs w:val="21"/>
          <w:u w:val="single"/>
        </w:rPr>
        <w:t xml:space="preserve">  </w:t>
      </w:r>
      <w:r>
        <w:rPr>
          <w:rFonts w:ascii="宋体" w:hAnsi="宋体"/>
          <w:szCs w:val="21"/>
        </w:rPr>
        <w:t>人，营业收入为</w:t>
      </w:r>
      <w:r>
        <w:rPr>
          <w:rFonts w:ascii="宋体" w:hAnsi="宋体" w:hint="eastAsia"/>
          <w:szCs w:val="21"/>
        </w:rPr>
        <w:t xml:space="preserve">  </w:t>
      </w:r>
      <w:r>
        <w:rPr>
          <w:rFonts w:ascii="宋体" w:hAnsi="宋体"/>
          <w:szCs w:val="21"/>
        </w:rPr>
        <w:t>万元，资产总额为</w:t>
      </w:r>
      <w:r>
        <w:rPr>
          <w:rFonts w:ascii="宋体" w:hAnsi="宋体" w:hint="eastAsia"/>
          <w:szCs w:val="21"/>
        </w:rPr>
        <w:t xml:space="preserve">  </w:t>
      </w:r>
      <w:r>
        <w:rPr>
          <w:rFonts w:ascii="宋体" w:hAnsi="宋体"/>
          <w:szCs w:val="21"/>
        </w:rPr>
        <w:t>万元 ，属于</w:t>
      </w:r>
      <w:r>
        <w:rPr>
          <w:rFonts w:ascii="宋体" w:hAnsi="宋体"/>
          <w:b/>
          <w:bCs/>
          <w:szCs w:val="21"/>
          <w:u w:val="single"/>
        </w:rPr>
        <w:t>（中型企业、小型企业、微型企业）</w:t>
      </w:r>
      <w:r>
        <w:rPr>
          <w:rFonts w:ascii="宋体" w:hAnsi="宋体" w:hint="eastAsia"/>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20" w:firstLineChars="200"/>
      </w:pPr>
      <w:r>
        <w:rPr>
          <w:rFonts w:hint="eastAsia"/>
        </w:rPr>
        <w:t>本企业对上述声明内容的真实性负责。如有虚假，将依法承担相应责任。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jc w:val="center"/>
        <w:rPr>
          <w:b/>
          <w:sz w:val="24"/>
        </w:rPr>
      </w:pPr>
    </w:p>
    <w:p>
      <w:pPr>
        <w:jc w:val="center"/>
        <w:rPr>
          <w:b/>
          <w:sz w:val="24"/>
        </w:rPr>
      </w:pPr>
      <w:r>
        <w:rPr>
          <w:rFonts w:hint="eastAsia"/>
          <w:b/>
          <w:sz w:val="24"/>
        </w:rPr>
        <w:t>2、残疾人福利性单位声明函（货物类）</w:t>
      </w:r>
    </w:p>
    <w:p>
      <w:pPr>
        <w:rPr>
          <w:b/>
          <w:bCs/>
        </w:rPr>
      </w:pPr>
    </w:p>
    <w:p>
      <w:pPr>
        <w:ind w:firstLine="420" w:firstLineChars="200"/>
        <w:rPr>
          <w:rFonts w:ascii="宋体" w:hAnsi="宋体"/>
          <w:szCs w:val="21"/>
        </w:rPr>
      </w:pPr>
      <w:r>
        <w:rPr>
          <w:rFonts w:ascii="宋体" w:hAnsi="宋体"/>
          <w:szCs w:val="21"/>
        </w:rPr>
        <w:t>本</w:t>
      </w:r>
      <w:r>
        <w:rPr>
          <w:rFonts w:ascii="宋体" w:hAnsi="宋体" w:hint="eastAsia"/>
          <w:szCs w:val="21"/>
        </w:rPr>
        <w:t>投标人郑重声明，根据《财政部民政部中国残疾人联合会关于促进残疾人就业政府采购政策的通知》（财库〔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号）的规定，本单位为符合条件的残疾人福利性单位，且本单位</w:t>
      </w:r>
      <w:r>
        <w:rPr>
          <w:rFonts w:ascii="宋体" w:hAnsi="宋体"/>
          <w:szCs w:val="21"/>
        </w:rPr>
        <w:t>参加</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hint="eastAsia"/>
          <w:szCs w:val="21"/>
          <w:u w:val="single"/>
        </w:rPr>
        <w:t>单位</w:t>
      </w:r>
      <w:r>
        <w:rPr>
          <w:rFonts w:ascii="宋体" w:hAnsi="宋体"/>
          <w:szCs w:val="21"/>
        </w:rPr>
        <w:t>的</w:t>
      </w:r>
      <w:r>
        <w:rPr>
          <w:rFonts w:ascii="宋体" w:hAnsi="宋体"/>
          <w:b/>
          <w:bCs/>
          <w:szCs w:val="21"/>
          <w:u w:val="single"/>
        </w:rPr>
        <w:t>（项目名称）</w:t>
      </w:r>
      <w:r>
        <w:rPr>
          <w:rFonts w:ascii="宋体" w:hAnsi="宋体" w:hint="eastAsia"/>
          <w:szCs w:val="21"/>
          <w:u w:val="single"/>
        </w:rPr>
        <w:t>项目</w:t>
      </w:r>
      <w:r>
        <w:rPr>
          <w:rFonts w:ascii="宋体" w:hAnsi="宋体"/>
          <w:szCs w:val="21"/>
        </w:rPr>
        <w:t>采购活动</w:t>
      </w:r>
      <w:r>
        <w:rPr>
          <w:rFonts w:ascii="宋体" w:hAnsi="宋体" w:hint="eastAsia"/>
          <w:szCs w:val="21"/>
        </w:rPr>
        <w:t>提供本单位服务。</w:t>
      </w:r>
    </w:p>
    <w:p>
      <w:pPr>
        <w:ind w:firstLine="420" w:firstLineChars="200"/>
        <w:rPr>
          <w:rFonts w:ascii="宋体" w:hAnsi="宋体"/>
          <w:szCs w:val="21"/>
        </w:rPr>
      </w:pPr>
      <w:r>
        <w:rPr>
          <w:rFonts w:ascii="宋体" w:hAnsi="宋体" w:hint="eastAsia"/>
          <w:szCs w:val="21"/>
        </w:rPr>
        <w:t>本单位对上述声明的真实性负责。如有虚假，将依法承担相应责任。</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rPr>
          <w:rFonts w:ascii="Calibri" w:hAnsi="Calibri"/>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szCs w:val="21"/>
        </w:rPr>
        <w:t>参加</w:t>
      </w:r>
      <w:r>
        <w:rPr>
          <w:rFonts w:ascii="宋体" w:hAnsi="宋体"/>
          <w:b/>
          <w:bCs/>
          <w:szCs w:val="21"/>
          <w:u w:val="single"/>
        </w:rPr>
        <w:t>（</w:t>
      </w:r>
      <w:r>
        <w:rPr>
          <w:rFonts w:ascii="宋体" w:hAnsi="宋体" w:hint="eastAsia"/>
          <w:b/>
          <w:bCs/>
          <w:szCs w:val="21"/>
          <w:u w:val="single"/>
        </w:rPr>
        <w:t>单位名称</w:t>
      </w:r>
      <w:r>
        <w:rPr>
          <w:rFonts w:ascii="宋体" w:hAnsi="宋体"/>
          <w:b/>
          <w:bCs/>
          <w:szCs w:val="21"/>
          <w:u w:val="single"/>
        </w:rPr>
        <w:t>）</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w:t>
      </w:r>
      <w:r>
        <w:rPr>
          <w:rFonts w:ascii="宋体" w:hAnsi="宋体" w:hint="eastAsia"/>
          <w:szCs w:val="21"/>
        </w:rPr>
        <w:t>监狱企业承接</w:t>
      </w:r>
      <w:r>
        <w:rPr>
          <w:rFonts w:ascii="宋体" w:hAnsi="宋体"/>
          <w:szCs w:val="21"/>
        </w:rPr>
        <w:t>。相关</w:t>
      </w:r>
      <w:r>
        <w:rPr>
          <w:rFonts w:ascii="宋体" w:hAnsi="宋体" w:hint="eastAsia"/>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w:t>
      </w:r>
      <w:r>
        <w:rPr>
          <w:rFonts w:ascii="宋体" w:hAnsi="宋体" w:hint="eastAsia"/>
          <w:szCs w:val="21"/>
        </w:rPr>
        <w:t>，承接单位</w:t>
      </w:r>
      <w:r>
        <w:rPr>
          <w:rFonts w:ascii="宋体" w:hAnsi="宋体"/>
          <w:szCs w:val="21"/>
        </w:rPr>
        <w:t>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对上述声明内容的真实性负责。如有虚假，将依法承担相应责任。</w:t>
      </w:r>
    </w:p>
    <w:p>
      <w:pPr>
        <w:ind w:firstLine="420" w:firstLineChars="200"/>
        <w:rPr>
          <w:b/>
          <w:sz w:val="24"/>
        </w:rPr>
      </w:pPr>
      <w:r>
        <w:rPr>
          <w:rFonts w:ascii="宋体" w:hAnsi="宋体" w:hint="eastAsia"/>
          <w:szCs w:val="21"/>
        </w:rPr>
        <w:t>附：省级以上监狱管理局、戒毒管理局（含新疆生产建设兵团）出具的监狱企业证明文件。</w:t>
      </w:r>
    </w:p>
    <w:p>
      <w:pPr>
        <w:ind w:firstLine="420" w:firstLineChars="200"/>
        <w:rPr>
          <w:rFonts w:ascii="宋体" w:hAnsi="宋体"/>
          <w:szCs w:val="21"/>
        </w:rPr>
      </w:pPr>
    </w:p>
    <w:p>
      <w:pPr>
        <w:wordWrap w:val="0"/>
        <w:ind w:firstLine="420" w:firstLineChars="200"/>
        <w:jc w:val="right"/>
        <w:rPr>
          <w:rFonts w:ascii="宋体" w:hAnsi="宋体"/>
          <w:szCs w:val="21"/>
        </w:rPr>
      </w:pPr>
      <w:r>
        <w:rPr>
          <w:rFonts w:ascii="宋体" w:hAnsi="宋体" w:hint="eastAsia"/>
          <w:szCs w:val="21"/>
        </w:rPr>
        <w:t xml:space="preserve">企业名称：            </w:t>
      </w:r>
    </w:p>
    <w:p>
      <w:pPr>
        <w:wordWrap w:val="0"/>
        <w:ind w:firstLine="420" w:firstLineChars="200"/>
        <w:jc w:val="right"/>
        <w:rPr>
          <w:rFonts w:ascii="宋体" w:hAnsi="宋体"/>
          <w:szCs w:val="21"/>
        </w:rPr>
      </w:pPr>
      <w:r>
        <w:rPr>
          <w:rFonts w:ascii="宋体" w:hAnsi="宋体" w:hint="eastAsia"/>
          <w:szCs w:val="21"/>
        </w:rPr>
        <w:t xml:space="preserve">日  期：            </w:t>
      </w:r>
    </w:p>
    <w:p>
      <w:pPr>
        <w:pStyle w:val="Heading3"/>
        <w:jc w:val="center"/>
        <w:rPr>
          <w:rFonts w:ascii="黑体" w:eastAsia="黑体"/>
          <w:b w:val="0"/>
          <w:sz w:val="24"/>
          <w:szCs w:val="24"/>
        </w:rPr>
      </w:pPr>
      <w:bookmarkEnd w:id="62"/>
      <w:bookmarkStart w:id="63" w:name="_Hlk72259976"/>
      <w:r>
        <w:rPr>
          <w:rFonts w:ascii="黑体" w:eastAsia="黑体" w:hint="eastAsia"/>
          <w:b w:val="0"/>
          <w:sz w:val="24"/>
          <w:szCs w:val="24"/>
        </w:rPr>
        <w:t>四、项目详细报价</w:t>
      </w:r>
    </w:p>
    <w:p>
      <w:pPr>
        <w:tabs>
          <w:tab w:val="left" w:pos="720"/>
        </w:tabs>
        <w:ind w:firstLine="2730" w:firstLineChars="1300"/>
        <w:rPr>
          <w:b/>
          <w:sz w:val="24"/>
        </w:rPr>
      </w:pPr>
      <w:r>
        <w:rPr>
          <w:rFonts w:hint="eastAsia"/>
          <w:b/>
          <w:sz w:val="24"/>
        </w:rPr>
        <w:t>（一）分项报价表</w:t>
      </w:r>
    </w:p>
    <w:tbl>
      <w:tblPr>
        <w:tblStyle w:val="TableNormal"/>
        <w:tblpPr w:leftFromText="180" w:rightFromText="180" w:vertAnchor="text" w:horzAnchor="margin" w:tblpY="173"/>
        <w:tblW w:w="85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
        <w:gridCol w:w="655"/>
        <w:gridCol w:w="2267"/>
        <w:gridCol w:w="780"/>
        <w:gridCol w:w="680"/>
        <w:gridCol w:w="807"/>
        <w:gridCol w:w="513"/>
        <w:gridCol w:w="413"/>
        <w:gridCol w:w="634"/>
        <w:gridCol w:w="626"/>
        <w:gridCol w:w="780"/>
      </w:tblGrid>
      <w:tr>
        <w:tblPrEx>
          <w:tblW w:w="85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70"/>
        </w:trPr>
        <w:tc>
          <w:tcPr>
            <w:tcW w:w="426" w:type="dxa"/>
            <w:vAlign w:val="center"/>
          </w:tcPr>
          <w:p>
            <w:pPr>
              <w:jc w:val="center"/>
              <w:rPr>
                <w:bCs/>
                <w:szCs w:val="21"/>
              </w:rPr>
            </w:pPr>
            <w:r>
              <w:rPr>
                <w:rFonts w:hint="eastAsia"/>
                <w:bCs/>
                <w:szCs w:val="21"/>
              </w:rPr>
              <w:t>序号</w:t>
            </w:r>
          </w:p>
        </w:tc>
        <w:tc>
          <w:tcPr>
            <w:tcW w:w="655" w:type="dxa"/>
            <w:vAlign w:val="center"/>
          </w:tcPr>
          <w:p>
            <w:pPr>
              <w:jc w:val="center"/>
              <w:rPr>
                <w:bCs/>
                <w:szCs w:val="21"/>
              </w:rPr>
            </w:pPr>
            <w:r>
              <w:rPr>
                <w:rFonts w:hint="eastAsia"/>
                <w:szCs w:val="21"/>
              </w:rPr>
              <w:t>采购计划编号</w:t>
            </w:r>
          </w:p>
        </w:tc>
        <w:tc>
          <w:tcPr>
            <w:tcW w:w="2267" w:type="dxa"/>
            <w:vAlign w:val="center"/>
          </w:tcPr>
          <w:p>
            <w:pPr>
              <w:jc w:val="center"/>
              <w:rPr>
                <w:bCs/>
                <w:szCs w:val="21"/>
              </w:rPr>
            </w:pPr>
            <w:r>
              <w:rPr>
                <w:rFonts w:hint="eastAsia"/>
                <w:bCs/>
                <w:szCs w:val="21"/>
              </w:rPr>
              <w:t>货物名称</w:t>
            </w:r>
          </w:p>
        </w:tc>
        <w:tc>
          <w:tcPr>
            <w:tcW w:w="780" w:type="dxa"/>
            <w:vAlign w:val="center"/>
          </w:tcPr>
          <w:p>
            <w:pPr>
              <w:jc w:val="center"/>
              <w:rPr>
                <w:bCs/>
                <w:szCs w:val="21"/>
              </w:rPr>
            </w:pPr>
            <w:r>
              <w:rPr>
                <w:rFonts w:hint="eastAsia"/>
                <w:szCs w:val="21"/>
              </w:rPr>
              <w:t>规格/品牌/型号</w:t>
            </w:r>
          </w:p>
        </w:tc>
        <w:tc>
          <w:tcPr>
            <w:tcW w:w="680" w:type="dxa"/>
            <w:vAlign w:val="center"/>
          </w:tcPr>
          <w:p>
            <w:pPr>
              <w:jc w:val="center"/>
              <w:rPr>
                <w:bCs/>
                <w:szCs w:val="21"/>
              </w:rPr>
            </w:pPr>
            <w:r>
              <w:rPr>
                <w:rFonts w:hint="eastAsia"/>
                <w:b/>
                <w:color w:val="FF0000"/>
                <w:szCs w:val="21"/>
              </w:rPr>
              <w:t>原产地</w:t>
            </w:r>
          </w:p>
        </w:tc>
        <w:tc>
          <w:tcPr>
            <w:tcW w:w="807" w:type="dxa"/>
            <w:vAlign w:val="center"/>
          </w:tcPr>
          <w:p>
            <w:pPr>
              <w:jc w:val="center"/>
              <w:rPr>
                <w:bCs/>
                <w:szCs w:val="21"/>
              </w:rPr>
            </w:pPr>
            <w:r>
              <w:rPr>
                <w:rFonts w:hint="eastAsia"/>
                <w:szCs w:val="21"/>
              </w:rPr>
              <w:t>制造商名称</w:t>
            </w:r>
          </w:p>
        </w:tc>
        <w:tc>
          <w:tcPr>
            <w:tcW w:w="513" w:type="dxa"/>
            <w:vAlign w:val="center"/>
          </w:tcPr>
          <w:p>
            <w:pPr>
              <w:jc w:val="center"/>
              <w:rPr>
                <w:bCs/>
                <w:szCs w:val="21"/>
              </w:rPr>
            </w:pPr>
            <w:r>
              <w:rPr>
                <w:rFonts w:hint="eastAsia"/>
                <w:bCs/>
                <w:szCs w:val="21"/>
              </w:rPr>
              <w:t>数量</w:t>
            </w:r>
          </w:p>
        </w:tc>
        <w:tc>
          <w:tcPr>
            <w:tcW w:w="413" w:type="dxa"/>
            <w:vAlign w:val="center"/>
          </w:tcPr>
          <w:p>
            <w:pPr>
              <w:jc w:val="center"/>
              <w:rPr>
                <w:bCs/>
                <w:szCs w:val="21"/>
              </w:rPr>
            </w:pPr>
            <w:r>
              <w:rPr>
                <w:rFonts w:hint="eastAsia"/>
                <w:bCs/>
                <w:szCs w:val="21"/>
              </w:rPr>
              <w:t>单位</w:t>
            </w:r>
          </w:p>
        </w:tc>
        <w:tc>
          <w:tcPr>
            <w:tcW w:w="634" w:type="dxa"/>
            <w:vAlign w:val="center"/>
          </w:tcPr>
          <w:p>
            <w:pPr>
              <w:jc w:val="center"/>
              <w:rPr>
                <w:bCs/>
                <w:szCs w:val="21"/>
              </w:rPr>
            </w:pPr>
            <w:r>
              <w:rPr>
                <w:rFonts w:hint="eastAsia"/>
                <w:szCs w:val="21"/>
              </w:rPr>
              <w:t>单价(元)</w:t>
            </w:r>
          </w:p>
        </w:tc>
        <w:tc>
          <w:tcPr>
            <w:tcW w:w="626" w:type="dxa"/>
            <w:vAlign w:val="center"/>
          </w:tcPr>
          <w:p>
            <w:pPr>
              <w:jc w:val="center"/>
              <w:rPr>
                <w:bCs/>
                <w:szCs w:val="21"/>
              </w:rPr>
            </w:pPr>
            <w:r>
              <w:rPr>
                <w:rFonts w:hint="eastAsia"/>
                <w:szCs w:val="21"/>
              </w:rPr>
              <w:t>合价(元)</w:t>
            </w:r>
          </w:p>
        </w:tc>
        <w:tc>
          <w:tcPr>
            <w:tcW w:w="780" w:type="dxa"/>
            <w:vAlign w:val="center"/>
          </w:tcPr>
          <w:p>
            <w:pPr>
              <w:jc w:val="center"/>
              <w:rPr>
                <w:szCs w:val="21"/>
              </w:rPr>
            </w:pPr>
            <w:r>
              <w:rPr>
                <w:rFonts w:hint="eastAsia"/>
                <w:szCs w:val="21"/>
              </w:rPr>
              <w:t>预算金额（元）</w:t>
            </w:r>
          </w:p>
        </w:tc>
      </w:tr>
      <w:tr>
        <w:tblPrEx>
          <w:tblW w:w="8581" w:type="dxa"/>
          <w:tblInd w:w="0" w:type="dxa"/>
          <w:tblLayout w:type="fixed"/>
          <w:tblCellMar>
            <w:top w:w="0" w:type="dxa"/>
            <w:left w:w="108" w:type="dxa"/>
            <w:bottom w:w="0" w:type="dxa"/>
            <w:right w:w="108" w:type="dxa"/>
          </w:tblCellMar>
        </w:tblPrEx>
        <w:trPr>
          <w:trHeight w:val="271"/>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w:t>
            </w:r>
          </w:p>
        </w:tc>
        <w:tc>
          <w:tcPr>
            <w:tcW w:w="655" w:type="dxa"/>
            <w:vMerge w:val="restart"/>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PLAN-2023-440300000-103609-10626</w:t>
            </w: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高清激光投影机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11</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restart"/>
            <w:vAlign w:val="center"/>
          </w:tcPr>
          <w:p>
            <w:pPr>
              <w:jc w:val="center"/>
              <w:rPr>
                <w:b/>
                <w:bCs/>
                <w:szCs w:val="21"/>
              </w:rPr>
            </w:pPr>
            <w:r>
              <w:rPr>
                <w:rFonts w:hint="eastAsia"/>
                <w:szCs w:val="21"/>
              </w:rPr>
              <w:t>3178900.00 </w:t>
            </w: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幕布</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11</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color w:val="FF0000"/>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超短焦激光投影机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交互式触控投影屏幕（100寸）</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5</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交互式触控投影屏幕（120寸）</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6</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学生交互教学终端</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5</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7</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智能互动交互系统</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8</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教师电脑主机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触控显示器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10</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无线投屏器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6</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11</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音视频采集卡</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12</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视频传输器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18</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13</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视频矩阵</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14</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返看显示器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 xml:space="preserve">14 </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15</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数字红外无线教学扩声系统主机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16</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数字红外接收器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28</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17</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数字红外无线麦克风</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18</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18</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全向麦克风</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19</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有线麦克风</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20</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一进四出网口分路器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12</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21</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数字音频功率放大器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22</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扬声器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32</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23</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常态化录播主机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24</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录播管理软件</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25</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行为识别软件</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26</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录播摄像头</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18</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27</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中控主机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28</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触控屏</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29</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中控编程</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30</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强电继电器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31</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16口千兆交换机</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32</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调光器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5</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33</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六合一传感器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个</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34</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RFID标签</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270</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张</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35</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RFID阅读器</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36</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监控摄像头</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37</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IP网络对讲终端</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38</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智慧班牌</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39</w:t>
            </w:r>
          </w:p>
        </w:tc>
        <w:tc>
          <w:tcPr>
            <w:tcW w:w="655" w:type="dxa"/>
            <w:vMerge/>
          </w:tcPr>
          <w:p>
            <w:pPr>
              <w:jc w:val="center"/>
              <w:rPr>
                <w:rFonts w:ascii="宋体" w:eastAsia="宋体" w:hAnsi="宋体" w:cs="宋体" w:hint="eastAsia"/>
                <w:bCs/>
                <w:sz w:val="21"/>
                <w:szCs w:val="21"/>
              </w:rPr>
            </w:pPr>
          </w:p>
        </w:tc>
        <w:tc>
          <w:tcPr>
            <w:tcW w:w="2267" w:type="dxa"/>
            <w:vAlign w:val="center"/>
          </w:tcPr>
          <w:p>
            <w:pPr>
              <w:jc w:val="center"/>
              <w:rPr>
                <w:rFonts w:ascii="宋体" w:eastAsia="宋体" w:hAnsi="宋体" w:cs="宋体" w:hint="eastAsia"/>
                <w:bCs/>
                <w:sz w:val="21"/>
                <w:szCs w:val="21"/>
              </w:rPr>
            </w:pPr>
            <w:r>
              <w:rPr>
                <w:rFonts w:ascii="宋体" w:eastAsia="宋体" w:hAnsi="宋体" w:cs="宋体" w:hint="eastAsia"/>
                <w:sz w:val="21"/>
                <w:szCs w:val="21"/>
              </w:rPr>
              <w:t>网络同步电子时钟</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40</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IP网络音箱</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41</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互联黑板（一）</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3</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42</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互联黑板（二）</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6</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套</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24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43</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讲台</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9</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台</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44</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管线</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w:t>
            </w:r>
          </w:p>
        </w:tc>
        <w:tc>
          <w:tcPr>
            <w:tcW w:w="413" w:type="dxa"/>
            <w:vAlign w:val="top"/>
          </w:tcPr>
          <w:p>
            <w:pPr>
              <w:spacing w:before="100" w:beforeAutospacing="1" w:after="100" w:afterAutospacing="1"/>
              <w:jc w:val="center"/>
              <w:outlineLvl w:val="1"/>
              <w:rPr>
                <w:rFonts w:ascii="宋体" w:eastAsia="宋体" w:hAnsi="宋体" w:cs="宋体" w:hint="eastAsia"/>
                <w:bCs/>
                <w:sz w:val="21"/>
                <w:szCs w:val="21"/>
              </w:rPr>
            </w:pPr>
            <w:r>
              <w:rPr>
                <w:rFonts w:ascii="宋体" w:eastAsia="宋体" w:hAnsi="宋体" w:cs="宋体" w:hint="eastAsia"/>
                <w:sz w:val="21"/>
                <w:szCs w:val="21"/>
              </w:rPr>
              <w:t>批</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426"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45</w:t>
            </w:r>
          </w:p>
        </w:tc>
        <w:tc>
          <w:tcPr>
            <w:tcW w:w="655" w:type="dxa"/>
            <w:vMerge/>
          </w:tcPr>
          <w:p>
            <w:pPr>
              <w:jc w:val="center"/>
              <w:rPr>
                <w:rFonts w:ascii="宋体" w:eastAsia="宋体" w:hAnsi="宋体" w:cs="宋体" w:hint="eastAsia"/>
                <w:bCs/>
                <w:sz w:val="21"/>
                <w:szCs w:val="21"/>
              </w:rPr>
            </w:pPr>
          </w:p>
        </w:tc>
        <w:tc>
          <w:tcPr>
            <w:tcW w:w="2267"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系统集成和调试</w:t>
            </w:r>
          </w:p>
        </w:tc>
        <w:tc>
          <w:tcPr>
            <w:tcW w:w="780" w:type="dxa"/>
            <w:vAlign w:val="center"/>
          </w:tcPr>
          <w:p>
            <w:pPr>
              <w:jc w:val="center"/>
              <w:rPr>
                <w:rFonts w:ascii="宋体" w:eastAsia="宋体" w:hAnsi="宋体" w:cs="宋体" w:hint="eastAsia"/>
                <w:bCs/>
                <w:sz w:val="21"/>
                <w:szCs w:val="21"/>
              </w:rPr>
            </w:pPr>
          </w:p>
        </w:tc>
        <w:tc>
          <w:tcPr>
            <w:tcW w:w="680" w:type="dxa"/>
            <w:vAlign w:val="center"/>
          </w:tcPr>
          <w:p>
            <w:pPr>
              <w:jc w:val="center"/>
              <w:rPr>
                <w:rFonts w:ascii="宋体" w:eastAsia="宋体" w:hAnsi="宋体" w:cs="宋体" w:hint="eastAsia"/>
                <w:bCs/>
                <w:sz w:val="21"/>
                <w:szCs w:val="21"/>
              </w:rPr>
            </w:pPr>
          </w:p>
        </w:tc>
        <w:tc>
          <w:tcPr>
            <w:tcW w:w="807" w:type="dxa"/>
            <w:vAlign w:val="center"/>
          </w:tcPr>
          <w:p>
            <w:pPr>
              <w:jc w:val="center"/>
              <w:rPr>
                <w:rFonts w:ascii="宋体" w:eastAsia="宋体" w:hAnsi="宋体" w:cs="宋体" w:hint="eastAsia"/>
                <w:bCs/>
                <w:sz w:val="21"/>
                <w:szCs w:val="21"/>
              </w:rPr>
            </w:pPr>
          </w:p>
        </w:tc>
        <w:tc>
          <w:tcPr>
            <w:tcW w:w="5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1</w:t>
            </w:r>
          </w:p>
        </w:tc>
        <w:tc>
          <w:tcPr>
            <w:tcW w:w="413" w:type="dxa"/>
            <w:vAlign w:val="top"/>
          </w:tcPr>
          <w:p>
            <w:pPr>
              <w:jc w:val="center"/>
              <w:rPr>
                <w:rFonts w:ascii="宋体" w:eastAsia="宋体" w:hAnsi="宋体" w:cs="宋体" w:hint="eastAsia"/>
                <w:bCs/>
                <w:sz w:val="21"/>
                <w:szCs w:val="21"/>
              </w:rPr>
            </w:pPr>
            <w:r>
              <w:rPr>
                <w:rFonts w:ascii="宋体" w:eastAsia="宋体" w:hAnsi="宋体" w:cs="宋体" w:hint="eastAsia"/>
                <w:sz w:val="21"/>
                <w:szCs w:val="21"/>
              </w:rPr>
              <w:t>批</w:t>
            </w:r>
          </w:p>
        </w:tc>
        <w:tc>
          <w:tcPr>
            <w:tcW w:w="634" w:type="dxa"/>
            <w:vAlign w:val="center"/>
          </w:tcPr>
          <w:p>
            <w:pPr>
              <w:jc w:val="center"/>
              <w:rPr>
                <w:bCs/>
                <w:szCs w:val="21"/>
              </w:rPr>
            </w:pPr>
          </w:p>
        </w:tc>
        <w:tc>
          <w:tcPr>
            <w:tcW w:w="626" w:type="dxa"/>
            <w:vAlign w:val="center"/>
          </w:tcPr>
          <w:p>
            <w:pPr>
              <w:jc w:val="center"/>
              <w:rPr>
                <w:bCs/>
                <w:szCs w:val="21"/>
              </w:rPr>
            </w:pPr>
          </w:p>
        </w:tc>
        <w:tc>
          <w:tcPr>
            <w:tcW w:w="780" w:type="dxa"/>
            <w:vMerge/>
            <w:vAlign w:val="center"/>
          </w:tcPr>
          <w:p>
            <w:pPr>
              <w:jc w:val="center"/>
              <w:rPr>
                <w:b/>
                <w:bCs/>
                <w:szCs w:val="21"/>
              </w:rPr>
            </w:pPr>
          </w:p>
        </w:tc>
      </w:tr>
      <w:tr>
        <w:tblPrEx>
          <w:tblW w:w="8581" w:type="dxa"/>
          <w:tblInd w:w="0" w:type="dxa"/>
          <w:tblLayout w:type="fixed"/>
          <w:tblCellMar>
            <w:top w:w="0" w:type="dxa"/>
            <w:left w:w="108" w:type="dxa"/>
            <w:bottom w:w="0" w:type="dxa"/>
            <w:right w:w="108" w:type="dxa"/>
          </w:tblCellMar>
        </w:tblPrEx>
        <w:trPr>
          <w:trHeight w:val="170"/>
        </w:trPr>
        <w:tc>
          <w:tcPr>
            <w:tcW w:w="8581" w:type="dxa"/>
            <w:gridSpan w:val="11"/>
          </w:tcPr>
          <w:p>
            <w:pPr>
              <w:rPr>
                <w:bCs/>
                <w:szCs w:val="21"/>
              </w:rPr>
            </w:pPr>
            <w:r>
              <w:rPr>
                <w:rFonts w:hint="eastAsia"/>
                <w:bCs/>
                <w:szCs w:val="21"/>
              </w:rPr>
              <w:t>合计（即投标总价；币种：人民币；单位：元） 小写：            大写：</w:t>
            </w:r>
          </w:p>
        </w:tc>
      </w:tr>
    </w:tbl>
    <w:p>
      <w:pPr>
        <w:rPr>
          <w:rFonts w:ascii="宋体" w:hAnsi="宋体" w:hint="eastAsia"/>
          <w:b/>
          <w:sz w:val="24"/>
        </w:rPr>
      </w:pPr>
    </w:p>
    <w:p>
      <w:pPr>
        <w:ind w:firstLine="420" w:firstLineChars="200"/>
        <w:rPr>
          <w:rFonts w:ascii="宋体" w:hAnsi="宋体"/>
          <w:b/>
          <w:sz w:val="24"/>
        </w:rPr>
      </w:pPr>
      <w:r>
        <w:rPr>
          <w:rFonts w:ascii="宋体" w:hAnsi="宋体" w:hint="eastAsia"/>
          <w:b/>
          <w:sz w:val="24"/>
        </w:rPr>
        <w:t>注：1.本表可按同样格式扩展。</w:t>
      </w:r>
    </w:p>
    <w:p>
      <w:pPr>
        <w:ind w:firstLine="412" w:firstLineChars="196"/>
        <w:rPr>
          <w:rFonts w:ascii="宋体" w:hAnsi="宋体"/>
          <w:b/>
          <w:sz w:val="24"/>
        </w:rPr>
      </w:pPr>
      <w:r>
        <w:rPr>
          <w:rFonts w:ascii="宋体" w:hAnsi="宋体" w:hint="eastAsia"/>
          <w:b/>
          <w:sz w:val="24"/>
        </w:rPr>
        <w:t>2</w:t>
      </w:r>
      <w:r>
        <w:rPr>
          <w:rFonts w:ascii="宋体" w:hAnsi="宋体"/>
          <w:b/>
          <w:sz w:val="24"/>
        </w:rPr>
        <w:t>.</w:t>
      </w:r>
      <w:r>
        <w:rPr>
          <w:rFonts w:ascii="宋体" w:hAnsi="宋体" w:hint="eastAsia"/>
          <w:b/>
          <w:sz w:val="24"/>
        </w:rPr>
        <w:t xml:space="preserve"> “规格/品牌/型号”一栏填写全部或任一信息即可，若为定制类，应填写为“定制”。未填写或填写错误的，在技术要求偏离情况按一般参数负偏离一项扣分处理。</w:t>
      </w:r>
    </w:p>
    <w:p>
      <w:pPr>
        <w:ind w:firstLine="412" w:firstLineChars="196"/>
        <w:rPr>
          <w:rFonts w:ascii="宋体" w:hAnsi="宋体"/>
          <w:b/>
          <w:sz w:val="24"/>
        </w:rPr>
      </w:pPr>
      <w:r>
        <w:rPr>
          <w:rFonts w:ascii="宋体" w:hAnsi="宋体"/>
          <w:b/>
          <w:sz w:val="24"/>
        </w:rPr>
        <w:t>3</w:t>
      </w:r>
      <w:r>
        <w:rPr>
          <w:rFonts w:ascii="宋体" w:hAnsi="宋体" w:hint="eastAsia"/>
          <w:b/>
          <w:sz w:val="24"/>
        </w:rPr>
        <w:t>.</w:t>
      </w:r>
      <w:bookmarkStart w:id="64" w:name="_Hlk72074795"/>
      <w:r>
        <w:rPr>
          <w:rFonts w:ascii="宋体" w:hAnsi="宋体" w:hint="eastAsia"/>
          <w:b/>
          <w:sz w:val="24"/>
        </w:rPr>
        <w:t>“原产地”是指该货物的实际生产加工地，而非品牌总公司所在地</w:t>
      </w:r>
      <w:bookmarkEnd w:id="64"/>
      <w:r>
        <w:rPr>
          <w:rFonts w:ascii="宋体" w:hAnsi="宋体" w:hint="eastAsia"/>
          <w:b/>
          <w:sz w:val="24"/>
        </w:rPr>
        <w:t>。</w:t>
      </w:r>
    </w:p>
    <w:p>
      <w:pPr>
        <w:ind w:firstLine="412" w:firstLineChars="196"/>
        <w:rPr>
          <w:rFonts w:ascii="宋体" w:hAnsi="宋体"/>
          <w:b/>
          <w:sz w:val="24"/>
        </w:rPr>
      </w:pPr>
      <w:r>
        <w:rPr>
          <w:rFonts w:ascii="宋体" w:hAnsi="宋体"/>
          <w:b/>
          <w:sz w:val="24"/>
        </w:rPr>
        <w:t>4</w:t>
      </w:r>
      <w:r>
        <w:rPr>
          <w:rFonts w:ascii="宋体" w:hAnsi="宋体" w:hint="eastAsia"/>
          <w:b/>
          <w:sz w:val="24"/>
        </w:rPr>
        <w:t>.所投货物均应填写制造商名称。</w:t>
      </w:r>
    </w:p>
    <w:p>
      <w:pPr>
        <w:ind w:firstLine="420" w:firstLineChars="200"/>
        <w:rPr>
          <w:rFonts w:ascii="宋体" w:hAnsi="宋体"/>
          <w:b/>
          <w:sz w:val="24"/>
        </w:rPr>
      </w:pPr>
      <w:r>
        <w:rPr>
          <w:rFonts w:ascii="宋体" w:hAnsi="宋体"/>
          <w:b/>
          <w:sz w:val="24"/>
        </w:rPr>
        <w:t>5</w:t>
      </w:r>
      <w:r>
        <w:rPr>
          <w:rFonts w:ascii="宋体" w:hAnsi="宋体" w:hint="eastAsia"/>
          <w:b/>
          <w:sz w:val="24"/>
        </w:rPr>
        <w:t>.以上分项报价表的投标总价应当与开标一览表的投标总价一致。</w:t>
      </w:r>
    </w:p>
    <w:p>
      <w:pPr>
        <w:ind w:firstLine="420" w:firstLineChars="200"/>
        <w:rPr>
          <w:rFonts w:ascii="宋体" w:hAnsi="宋体"/>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若招标文件商务要求中对于报价有要求的以商务要求中的条款为准）</w:t>
      </w:r>
    </w:p>
    <w:p>
      <w:pPr>
        <w:ind w:firstLine="420" w:firstLineChars="200"/>
        <w:rPr>
          <w:rFonts w:ascii="宋体" w:hAnsi="宋体"/>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.所有价格应按“招标文件”中规定的货币单位填写；投标总价应为以上各分项价格之和；投标总价和项目报价表中单个采购预算条目报价均不得超过对应的预算金额，否则将导致投标无效。</w:t>
      </w:r>
    </w:p>
    <w:p>
      <w:pPr>
        <w:ind w:firstLine="420" w:firstLineChars="200"/>
        <w:rPr>
          <w:rFonts w:ascii="宋体" w:hAnsi="宋体"/>
          <w:b/>
          <w:color w:val="FF0000"/>
          <w:sz w:val="24"/>
        </w:rPr>
      </w:pPr>
    </w:p>
    <w:p>
      <w:pPr>
        <w:tabs>
          <w:tab w:val="left" w:pos="720"/>
        </w:tabs>
        <w:jc w:val="center"/>
        <w:rPr>
          <w:b/>
          <w:sz w:val="24"/>
        </w:rPr>
      </w:pPr>
      <w:r>
        <w:rPr>
          <w:rFonts w:hint="eastAsia"/>
          <w:b/>
          <w:sz w:val="24"/>
        </w:rPr>
        <w:t>（二）核心产品品牌</w:t>
      </w:r>
    </w:p>
    <w:p>
      <w:pPr>
        <w:ind w:firstLine="420" w:firstLineChars="200"/>
        <w:rPr>
          <w:rFonts w:ascii="宋体" w:hAnsi="宋体"/>
          <w:b/>
          <w:color w:val="FF0000"/>
          <w:sz w:val="24"/>
        </w:rPr>
      </w:pPr>
    </w:p>
    <w:p>
      <w:pPr>
        <w:ind w:firstLine="420" w:firstLineChars="200"/>
        <w:rPr>
          <w:rFonts w:ascii="宋体" w:hAnsi="宋体"/>
          <w:b/>
          <w:sz w:val="24"/>
        </w:rPr>
      </w:pPr>
      <w:r>
        <w:rPr>
          <w:rFonts w:hint="eastAsia"/>
          <w:b/>
          <w:sz w:val="24"/>
        </w:rPr>
        <w:t>我单位所投核心产品的品牌为：</w:t>
      </w:r>
      <w:r>
        <w:rPr>
          <w:rFonts w:hint="eastAsia"/>
          <w:b/>
          <w:bCs/>
          <w:szCs w:val="21"/>
          <w:u w:val="thick"/>
        </w:rPr>
        <w:tab/>
      </w:r>
      <w:r>
        <w:rPr>
          <w:rFonts w:hint="eastAsia"/>
          <w:b/>
          <w:bCs/>
          <w:szCs w:val="21"/>
          <w:u w:val="thick"/>
        </w:rPr>
        <w:tab/>
      </w:r>
      <w:r>
        <w:rPr>
          <w:rFonts w:hint="eastAsia"/>
          <w:b/>
          <w:bCs/>
          <w:szCs w:val="21"/>
          <w:u w:val="thick"/>
        </w:rPr>
        <w:tab/>
      </w:r>
      <w:r>
        <w:rPr>
          <w:rFonts w:hint="eastAsia"/>
          <w:b/>
          <w:bCs/>
          <w:szCs w:val="21"/>
          <w:u w:val="thick"/>
        </w:rPr>
        <w:tab/>
      </w:r>
      <w:r>
        <w:rPr>
          <w:rFonts w:hint="eastAsia"/>
          <w:b/>
          <w:sz w:val="24"/>
        </w:rPr>
        <w:t>。</w:t>
      </w:r>
    </w:p>
    <w:p>
      <w:pPr>
        <w:ind w:firstLine="420" w:firstLineChars="200"/>
        <w:rPr>
          <w:rFonts w:ascii="宋体" w:hAnsi="宋体"/>
          <w:b/>
          <w:color w:val="FF0000"/>
          <w:sz w:val="24"/>
        </w:rPr>
      </w:pPr>
    </w:p>
    <w:p>
      <w:pPr>
        <w:ind w:firstLine="420" w:firstLineChars="200"/>
        <w:rPr>
          <w:rFonts w:ascii="宋体" w:hAnsi="宋体"/>
          <w:sz w:val="24"/>
        </w:rPr>
      </w:pPr>
      <w:r>
        <w:rPr>
          <w:rFonts w:ascii="宋体" w:hAnsi="宋体" w:hint="eastAsia"/>
          <w:sz w:val="24"/>
        </w:rPr>
        <w:t>备注：招标文件未列明核心产品的，无需填写该项。</w:t>
      </w:r>
    </w:p>
    <w:p>
      <w:pPr>
        <w:ind w:firstLine="1050" w:firstLineChars="500"/>
        <w:rPr>
          <w:rFonts w:ascii="宋体" w:hAnsi="宋体"/>
          <w:b/>
          <w:bCs/>
          <w:sz w:val="24"/>
        </w:rPr>
      </w:pPr>
      <w:r>
        <w:rPr>
          <w:rFonts w:ascii="宋体" w:hAnsi="宋体" w:hint="eastAsia"/>
          <w:b/>
          <w:bCs/>
          <w:sz w:val="24"/>
        </w:rPr>
        <w:t>本项目核心产品为：</w:t>
      </w:r>
      <w:r>
        <w:rPr>
          <w:rFonts w:ascii="宋体" w:hAnsi="宋体" w:hint="eastAsia"/>
          <w:b/>
          <w:bCs/>
          <w:sz w:val="24"/>
          <w:u w:val="single"/>
        </w:rPr>
        <w:t>高清激光投影机（序号1）</w:t>
      </w:r>
    </w:p>
    <w:p>
      <w:pPr>
        <w:rPr>
          <w:b/>
          <w:sz w:val="24"/>
        </w:rPr>
      </w:pPr>
    </w:p>
    <w:p>
      <w:pPr>
        <w:tabs>
          <w:tab w:val="left" w:pos="720"/>
        </w:tabs>
        <w:ind w:firstLine="1680" w:firstLineChars="800"/>
        <w:rPr>
          <w:b/>
          <w:sz w:val="24"/>
        </w:rPr>
      </w:pPr>
      <w:r>
        <w:rPr>
          <w:rFonts w:hint="eastAsia"/>
          <w:b/>
          <w:sz w:val="24"/>
        </w:rPr>
        <w:t>（三）可选配件报价清单（不包括在总报价内）</w:t>
      </w:r>
    </w:p>
    <w:p>
      <w:pPr>
        <w:ind w:firstLine="420" w:firstLineChars="200"/>
        <w:rPr>
          <w:rFonts w:hAnsi="宋体"/>
          <w:b/>
          <w:bCs/>
          <w:szCs w:val="21"/>
        </w:rPr>
      </w:pPr>
      <w:r>
        <w:rPr>
          <w:rFonts w:hAnsi="宋体" w:hint="eastAsia"/>
          <w:b/>
          <w:bCs/>
          <w:szCs w:val="21"/>
        </w:rPr>
        <w:t>注：格式可以参照《（一）分项报价表》表格，并提供相应的品牌/规格/型号、原产地、制造商信息（没有品牌、型号的，用“定制”描述即可）、单价等详细信息</w:t>
      </w:r>
    </w:p>
    <w:p>
      <w:pPr>
        <w:ind w:firstLine="420" w:firstLineChars="200"/>
        <w:rPr>
          <w:rFonts w:hAnsi="宋体"/>
          <w:b/>
          <w:bCs/>
          <w:sz w:val="24"/>
        </w:rPr>
      </w:pPr>
    </w:p>
    <w:p>
      <w:pPr>
        <w:tabs>
          <w:tab w:val="left" w:pos="720"/>
        </w:tabs>
        <w:jc w:val="center"/>
        <w:rPr>
          <w:b/>
          <w:sz w:val="24"/>
        </w:rPr>
      </w:pPr>
      <w:r>
        <w:rPr>
          <w:rFonts w:hint="eastAsia"/>
          <w:b/>
          <w:sz w:val="24"/>
        </w:rPr>
        <w:t>（四）</w:t>
      </w:r>
      <w:bookmarkStart w:id="65" w:name="_Hlk72073235"/>
      <w:r>
        <w:rPr>
          <w:rFonts w:hint="eastAsia"/>
          <w:b/>
          <w:sz w:val="24"/>
        </w:rPr>
        <w:t>投标人认为需要涉及的其他内容报价清单</w:t>
      </w:r>
      <w:bookmarkEnd w:id="65"/>
    </w:p>
    <w:p>
      <w:pPr>
        <w:rPr>
          <w:b/>
          <w:bCs/>
        </w:rPr>
      </w:pPr>
    </w:p>
    <w:p>
      <w:pPr>
        <w:jc w:val="center"/>
        <w:outlineLvl w:val="3"/>
        <w:rPr>
          <w:rFonts w:ascii="黑体" w:eastAsia="黑体" w:hAnsi="宋体"/>
          <w:bCs/>
          <w:kern w:val="0"/>
          <w:sz w:val="24"/>
          <w:szCs w:val="32"/>
        </w:rPr>
      </w:pPr>
      <w:r>
        <w:rPr>
          <w:rFonts w:ascii="黑体" w:eastAsia="黑体" w:hAnsi="宋体" w:hint="eastAsia"/>
          <w:bCs/>
          <w:kern w:val="0"/>
          <w:sz w:val="24"/>
          <w:szCs w:val="32"/>
        </w:rPr>
        <w:t>五、投标人认证情况</w:t>
      </w:r>
    </w:p>
    <w:p>
      <w:pPr>
        <w:rPr>
          <w:b/>
          <w:bCs/>
          <w:color w:val="FF0000"/>
        </w:rPr>
      </w:pPr>
      <w:r>
        <w:rPr>
          <w:rFonts w:hint="eastAsia"/>
          <w:b/>
          <w:bCs/>
          <w:color w:val="FF0000"/>
        </w:rPr>
        <w:t>（特别提示：投标人须按本招标文件评标信息中“投标人认证情况”这一评审因素要求，提供详细证明资料）</w:t>
      </w:r>
    </w:p>
    <w:p>
      <w:pPr>
        <w:rPr>
          <w:b/>
          <w:bCs/>
          <w:color w:val="FF0000"/>
        </w:rPr>
      </w:pPr>
    </w:p>
    <w:p>
      <w:pPr>
        <w:rPr>
          <w:b/>
          <w:bCs/>
          <w:color w:val="FF0000"/>
        </w:rPr>
      </w:pPr>
    </w:p>
    <w:p>
      <w:pPr>
        <w:jc w:val="center"/>
        <w:outlineLvl w:val="3"/>
        <w:rPr>
          <w:rFonts w:ascii="黑体" w:eastAsia="黑体" w:hAnsi="宋体"/>
          <w:bCs/>
          <w:kern w:val="0"/>
          <w:sz w:val="24"/>
          <w:szCs w:val="32"/>
        </w:rPr>
      </w:pPr>
      <w:r>
        <w:rPr>
          <w:rFonts w:ascii="黑体" w:eastAsia="黑体" w:hAnsi="宋体" w:hint="eastAsia"/>
          <w:bCs/>
          <w:kern w:val="0"/>
          <w:sz w:val="24"/>
          <w:szCs w:val="32"/>
          <w:lang w:val="en-US" w:eastAsia="zh-CN"/>
        </w:rPr>
        <w:t>六</w:t>
      </w:r>
      <w:r>
        <w:rPr>
          <w:rFonts w:ascii="黑体" w:eastAsia="黑体" w:hAnsi="宋体" w:hint="eastAsia"/>
          <w:bCs/>
          <w:kern w:val="0"/>
          <w:sz w:val="24"/>
          <w:szCs w:val="32"/>
        </w:rPr>
        <w:t>、投标人同类业绩</w:t>
      </w:r>
    </w:p>
    <w:tbl>
      <w:tblPr>
        <w:tblStyle w:val="TableNormal"/>
        <w:tblW w:w="8529" w:type="dxa"/>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00"/>
        <w:gridCol w:w="1418"/>
        <w:gridCol w:w="1986"/>
        <w:gridCol w:w="849"/>
        <w:gridCol w:w="993"/>
        <w:gridCol w:w="2183"/>
      </w:tblGrid>
      <w:tr>
        <w:tblPrEx>
          <w:tblW w:w="8529" w:type="dxa"/>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1100" w:type="dxa"/>
            <w:vAlign w:val="center"/>
          </w:tcPr>
          <w:p>
            <w:pPr>
              <w:jc w:val="center"/>
              <w:rPr>
                <w:rFonts w:ascii="宋体" w:hAnsi="宋体"/>
                <w:sz w:val="20"/>
                <w:szCs w:val="21"/>
              </w:rPr>
            </w:pPr>
            <w:r>
              <w:rPr>
                <w:rFonts w:ascii="宋体" w:hAnsi="宋体" w:hint="eastAsia"/>
                <w:sz w:val="20"/>
                <w:szCs w:val="21"/>
              </w:rPr>
              <w:t>采购人</w:t>
            </w:r>
          </w:p>
        </w:tc>
        <w:tc>
          <w:tcPr>
            <w:tcW w:w="1418" w:type="dxa"/>
            <w:vAlign w:val="center"/>
          </w:tcPr>
          <w:p>
            <w:pPr>
              <w:jc w:val="center"/>
              <w:rPr>
                <w:rFonts w:ascii="宋体" w:hAnsi="宋体"/>
                <w:sz w:val="20"/>
                <w:szCs w:val="21"/>
              </w:rPr>
            </w:pPr>
            <w:r>
              <w:rPr>
                <w:rFonts w:ascii="宋体" w:hAnsi="宋体" w:hint="eastAsia"/>
                <w:sz w:val="20"/>
                <w:szCs w:val="21"/>
              </w:rPr>
              <w:t>项目名称</w:t>
            </w:r>
          </w:p>
        </w:tc>
        <w:tc>
          <w:tcPr>
            <w:tcW w:w="1986" w:type="dxa"/>
            <w:vAlign w:val="center"/>
          </w:tcPr>
          <w:p>
            <w:pPr>
              <w:jc w:val="center"/>
              <w:rPr>
                <w:rFonts w:ascii="宋体" w:hAnsi="宋体"/>
                <w:sz w:val="20"/>
                <w:szCs w:val="21"/>
              </w:rPr>
            </w:pPr>
            <w:r>
              <w:rPr>
                <w:rFonts w:ascii="宋体" w:hAnsi="宋体" w:hint="eastAsia"/>
                <w:sz w:val="20"/>
                <w:szCs w:val="21"/>
              </w:rPr>
              <w:t>项目规模（金额）</w:t>
            </w:r>
          </w:p>
        </w:tc>
        <w:tc>
          <w:tcPr>
            <w:tcW w:w="849" w:type="dxa"/>
            <w:vAlign w:val="center"/>
          </w:tcPr>
          <w:p>
            <w:pPr>
              <w:jc w:val="center"/>
              <w:rPr>
                <w:rFonts w:ascii="宋体" w:hAnsi="宋体"/>
                <w:sz w:val="20"/>
                <w:szCs w:val="21"/>
              </w:rPr>
            </w:pPr>
            <w:r>
              <w:rPr>
                <w:rFonts w:ascii="宋体" w:hAnsi="宋体" w:hint="eastAsia"/>
                <w:sz w:val="20"/>
                <w:szCs w:val="21"/>
              </w:rPr>
              <w:t>合同签订日期</w:t>
            </w:r>
          </w:p>
        </w:tc>
        <w:tc>
          <w:tcPr>
            <w:tcW w:w="993" w:type="dxa"/>
            <w:vAlign w:val="center"/>
          </w:tcPr>
          <w:p>
            <w:pPr>
              <w:jc w:val="center"/>
              <w:rPr>
                <w:rFonts w:ascii="宋体" w:hAnsi="宋体"/>
                <w:sz w:val="20"/>
                <w:szCs w:val="21"/>
              </w:rPr>
            </w:pPr>
            <w:r>
              <w:rPr>
                <w:rFonts w:ascii="宋体" w:hAnsi="宋体" w:hint="eastAsia"/>
                <w:sz w:val="20"/>
                <w:szCs w:val="21"/>
              </w:rPr>
              <w:t>履约验收时间</w:t>
            </w:r>
          </w:p>
        </w:tc>
        <w:tc>
          <w:tcPr>
            <w:tcW w:w="2183" w:type="dxa"/>
            <w:vAlign w:val="center"/>
          </w:tcPr>
          <w:p>
            <w:pPr>
              <w:jc w:val="center"/>
              <w:rPr>
                <w:rFonts w:ascii="宋体" w:hAnsi="宋体"/>
                <w:sz w:val="20"/>
                <w:szCs w:val="21"/>
              </w:rPr>
            </w:pPr>
            <w:r>
              <w:rPr>
                <w:rFonts w:ascii="宋体" w:hAnsi="宋体" w:hint="eastAsia"/>
                <w:sz w:val="20"/>
                <w:szCs w:val="21"/>
              </w:rPr>
              <w:t>完成质量情况（以履约验收报告为准）</w:t>
            </w:r>
          </w:p>
        </w:tc>
      </w:tr>
      <w:tr>
        <w:tblPrEx>
          <w:tblW w:w="8529" w:type="dxa"/>
          <w:tblInd w:w="0" w:type="dxa"/>
          <w:tblLayout w:type="fixed"/>
          <w:tblCellMar>
            <w:top w:w="0" w:type="dxa"/>
            <w:left w:w="108" w:type="dxa"/>
            <w:bottom w:w="0" w:type="dxa"/>
            <w:right w:w="108" w:type="dxa"/>
          </w:tblCellMar>
        </w:tblPrEx>
        <w:tc>
          <w:tcPr>
            <w:tcW w:w="1100" w:type="dxa"/>
            <w:vAlign w:val="center"/>
          </w:tcPr>
          <w:p>
            <w:pPr>
              <w:ind w:firstLine="420" w:firstLineChars="200"/>
              <w:rPr>
                <w:rFonts w:ascii="宋体" w:hAnsi="宋体"/>
                <w:sz w:val="20"/>
                <w:szCs w:val="21"/>
              </w:rPr>
            </w:pPr>
            <w:r>
              <w:rPr>
                <w:rFonts w:ascii="宋体" w:hAnsi="宋体"/>
                <w:sz w:val="20"/>
                <w:szCs w:val="21"/>
              </w:rPr>
              <w:t>……</w:t>
            </w:r>
          </w:p>
        </w:tc>
        <w:tc>
          <w:tcPr>
            <w:tcW w:w="1418" w:type="dxa"/>
            <w:vAlign w:val="center"/>
          </w:tcPr>
          <w:p>
            <w:pPr>
              <w:ind w:firstLine="420" w:firstLineChars="200"/>
              <w:rPr>
                <w:rFonts w:ascii="宋体" w:hAnsi="宋体"/>
                <w:sz w:val="20"/>
                <w:szCs w:val="21"/>
              </w:rPr>
            </w:pPr>
          </w:p>
        </w:tc>
        <w:tc>
          <w:tcPr>
            <w:tcW w:w="1986" w:type="dxa"/>
            <w:vAlign w:val="center"/>
          </w:tcPr>
          <w:p>
            <w:pPr>
              <w:ind w:firstLine="420" w:firstLineChars="200"/>
              <w:rPr>
                <w:rFonts w:ascii="宋体" w:hAnsi="宋体"/>
                <w:sz w:val="20"/>
                <w:szCs w:val="21"/>
              </w:rPr>
            </w:pPr>
          </w:p>
        </w:tc>
        <w:tc>
          <w:tcPr>
            <w:tcW w:w="849" w:type="dxa"/>
            <w:vAlign w:val="center"/>
          </w:tcPr>
          <w:p>
            <w:pPr>
              <w:ind w:firstLine="420" w:firstLineChars="200"/>
              <w:rPr>
                <w:rFonts w:ascii="宋体" w:hAnsi="宋体"/>
                <w:sz w:val="20"/>
                <w:szCs w:val="21"/>
              </w:rPr>
            </w:pPr>
          </w:p>
        </w:tc>
        <w:tc>
          <w:tcPr>
            <w:tcW w:w="993" w:type="dxa"/>
            <w:vAlign w:val="center"/>
          </w:tcPr>
          <w:p>
            <w:pPr>
              <w:ind w:firstLine="420" w:firstLineChars="200"/>
              <w:rPr>
                <w:rFonts w:ascii="宋体" w:hAnsi="宋体"/>
                <w:sz w:val="20"/>
                <w:szCs w:val="21"/>
              </w:rPr>
            </w:pPr>
          </w:p>
        </w:tc>
        <w:tc>
          <w:tcPr>
            <w:tcW w:w="2183" w:type="dxa"/>
            <w:vAlign w:val="center"/>
          </w:tcPr>
          <w:p>
            <w:pPr>
              <w:ind w:firstLine="420" w:firstLineChars="200"/>
              <w:rPr>
                <w:rFonts w:ascii="宋体" w:hAnsi="宋体"/>
                <w:sz w:val="20"/>
                <w:szCs w:val="21"/>
              </w:rPr>
            </w:pPr>
          </w:p>
        </w:tc>
      </w:tr>
      <w:tr>
        <w:tblPrEx>
          <w:tblW w:w="8529" w:type="dxa"/>
          <w:tblInd w:w="0" w:type="dxa"/>
          <w:tblLayout w:type="fixed"/>
          <w:tblCellMar>
            <w:top w:w="0" w:type="dxa"/>
            <w:left w:w="108" w:type="dxa"/>
            <w:bottom w:w="0" w:type="dxa"/>
            <w:right w:w="108" w:type="dxa"/>
          </w:tblCellMar>
        </w:tblPrEx>
        <w:tc>
          <w:tcPr>
            <w:tcW w:w="1100" w:type="dxa"/>
            <w:vAlign w:val="center"/>
          </w:tcPr>
          <w:p>
            <w:pPr>
              <w:ind w:firstLine="420" w:firstLineChars="200"/>
              <w:rPr>
                <w:rFonts w:ascii="宋体" w:hAnsi="宋体"/>
                <w:sz w:val="20"/>
                <w:szCs w:val="21"/>
              </w:rPr>
            </w:pPr>
          </w:p>
        </w:tc>
        <w:tc>
          <w:tcPr>
            <w:tcW w:w="1418" w:type="dxa"/>
            <w:vAlign w:val="center"/>
          </w:tcPr>
          <w:p>
            <w:pPr>
              <w:ind w:firstLine="420" w:firstLineChars="200"/>
              <w:rPr>
                <w:rFonts w:ascii="宋体" w:hAnsi="宋体"/>
                <w:sz w:val="20"/>
                <w:szCs w:val="21"/>
              </w:rPr>
            </w:pPr>
          </w:p>
        </w:tc>
        <w:tc>
          <w:tcPr>
            <w:tcW w:w="1986" w:type="dxa"/>
            <w:vAlign w:val="center"/>
          </w:tcPr>
          <w:p>
            <w:pPr>
              <w:ind w:firstLine="420" w:firstLineChars="200"/>
              <w:rPr>
                <w:rFonts w:ascii="宋体" w:hAnsi="宋体"/>
                <w:sz w:val="20"/>
                <w:szCs w:val="21"/>
              </w:rPr>
            </w:pPr>
          </w:p>
        </w:tc>
        <w:tc>
          <w:tcPr>
            <w:tcW w:w="849" w:type="dxa"/>
            <w:vAlign w:val="center"/>
          </w:tcPr>
          <w:p>
            <w:pPr>
              <w:ind w:firstLine="420" w:firstLineChars="200"/>
              <w:rPr>
                <w:rFonts w:ascii="宋体" w:hAnsi="宋体"/>
                <w:sz w:val="20"/>
                <w:szCs w:val="21"/>
              </w:rPr>
            </w:pPr>
          </w:p>
        </w:tc>
        <w:tc>
          <w:tcPr>
            <w:tcW w:w="993" w:type="dxa"/>
            <w:vAlign w:val="center"/>
          </w:tcPr>
          <w:p>
            <w:pPr>
              <w:ind w:firstLine="420" w:firstLineChars="200"/>
              <w:rPr>
                <w:rFonts w:ascii="宋体" w:hAnsi="宋体"/>
                <w:sz w:val="20"/>
                <w:szCs w:val="21"/>
              </w:rPr>
            </w:pPr>
          </w:p>
        </w:tc>
        <w:tc>
          <w:tcPr>
            <w:tcW w:w="2183" w:type="dxa"/>
            <w:vAlign w:val="center"/>
          </w:tcPr>
          <w:p>
            <w:pPr>
              <w:ind w:firstLine="420" w:firstLineChars="200"/>
              <w:rPr>
                <w:rFonts w:ascii="宋体" w:hAnsi="宋体"/>
                <w:sz w:val="20"/>
                <w:szCs w:val="21"/>
              </w:rPr>
            </w:pPr>
          </w:p>
        </w:tc>
      </w:tr>
      <w:tr>
        <w:tblPrEx>
          <w:tblW w:w="8529" w:type="dxa"/>
          <w:tblInd w:w="0" w:type="dxa"/>
          <w:tblLayout w:type="fixed"/>
          <w:tblCellMar>
            <w:top w:w="0" w:type="dxa"/>
            <w:left w:w="108" w:type="dxa"/>
            <w:bottom w:w="0" w:type="dxa"/>
            <w:right w:w="108" w:type="dxa"/>
          </w:tblCellMar>
        </w:tblPrEx>
        <w:tc>
          <w:tcPr>
            <w:tcW w:w="1100" w:type="dxa"/>
            <w:vAlign w:val="center"/>
          </w:tcPr>
          <w:p>
            <w:pPr>
              <w:ind w:firstLine="420" w:firstLineChars="200"/>
              <w:rPr>
                <w:rFonts w:ascii="宋体" w:hAnsi="宋体"/>
                <w:sz w:val="20"/>
                <w:szCs w:val="21"/>
              </w:rPr>
            </w:pPr>
          </w:p>
        </w:tc>
        <w:tc>
          <w:tcPr>
            <w:tcW w:w="1418" w:type="dxa"/>
            <w:vAlign w:val="center"/>
          </w:tcPr>
          <w:p>
            <w:pPr>
              <w:ind w:firstLine="420" w:firstLineChars="200"/>
              <w:rPr>
                <w:rFonts w:ascii="宋体" w:hAnsi="宋体"/>
                <w:sz w:val="20"/>
                <w:szCs w:val="21"/>
              </w:rPr>
            </w:pPr>
          </w:p>
        </w:tc>
        <w:tc>
          <w:tcPr>
            <w:tcW w:w="1986" w:type="dxa"/>
            <w:vAlign w:val="center"/>
          </w:tcPr>
          <w:p>
            <w:pPr>
              <w:ind w:firstLine="420" w:firstLineChars="200"/>
              <w:rPr>
                <w:rFonts w:ascii="宋体" w:hAnsi="宋体"/>
                <w:sz w:val="20"/>
                <w:szCs w:val="21"/>
              </w:rPr>
            </w:pPr>
          </w:p>
        </w:tc>
        <w:tc>
          <w:tcPr>
            <w:tcW w:w="849" w:type="dxa"/>
            <w:vAlign w:val="center"/>
          </w:tcPr>
          <w:p>
            <w:pPr>
              <w:ind w:firstLine="420" w:firstLineChars="200"/>
              <w:rPr>
                <w:rFonts w:ascii="宋体" w:hAnsi="宋体"/>
                <w:sz w:val="20"/>
                <w:szCs w:val="21"/>
              </w:rPr>
            </w:pPr>
          </w:p>
        </w:tc>
        <w:tc>
          <w:tcPr>
            <w:tcW w:w="993" w:type="dxa"/>
            <w:vAlign w:val="center"/>
          </w:tcPr>
          <w:p>
            <w:pPr>
              <w:ind w:firstLine="420" w:firstLineChars="200"/>
              <w:rPr>
                <w:rFonts w:ascii="宋体" w:hAnsi="宋体"/>
                <w:sz w:val="20"/>
                <w:szCs w:val="21"/>
              </w:rPr>
            </w:pPr>
          </w:p>
          <w:p/>
        </w:tc>
        <w:tc>
          <w:tcPr>
            <w:tcW w:w="2183" w:type="dxa"/>
            <w:vAlign w:val="center"/>
          </w:tcPr>
          <w:p>
            <w:pPr>
              <w:ind w:firstLine="420" w:firstLineChars="200"/>
              <w:rPr>
                <w:rFonts w:ascii="宋体" w:hAnsi="宋体"/>
                <w:sz w:val="20"/>
                <w:szCs w:val="21"/>
              </w:rPr>
            </w:pPr>
          </w:p>
        </w:tc>
      </w:tr>
    </w:tbl>
    <w:p>
      <w:pPr>
        <w:rPr>
          <w:b/>
          <w:bCs/>
          <w:color w:val="FF0000"/>
        </w:rPr>
      </w:pPr>
      <w:r>
        <w:rPr>
          <w:rFonts w:hint="eastAsia"/>
          <w:b/>
          <w:bCs/>
          <w:color w:val="FF0000"/>
        </w:rPr>
        <w:t>（特别提示：投标人须按本招标文件评标信息中“投标人同类业绩”这一评审因素要求，提供详细证明资料）</w:t>
      </w:r>
    </w:p>
    <w:p/>
    <w:p>
      <w:pPr>
        <w:pStyle w:val="BodyText"/>
      </w:pPr>
    </w:p>
    <w:p>
      <w:pPr>
        <w:ind w:firstLine="630" w:firstLineChars="300"/>
        <w:rPr>
          <w:b/>
          <w:color w:val="FF0000"/>
          <w:sz w:val="24"/>
        </w:rPr>
      </w:pPr>
      <w:r>
        <w:rPr>
          <w:rFonts w:hint="eastAsia"/>
          <w:b/>
          <w:color w:val="FF0000"/>
          <w:sz w:val="24"/>
        </w:rPr>
        <w:t>（信息公开部分的内容到此为止！以下为信息不公开部分。）</w:t>
      </w:r>
    </w:p>
    <w:p>
      <w:bookmarkEnd w:id="63"/>
      <w:r>
        <w:br w:type="page"/>
      </w:r>
    </w:p>
    <w:p>
      <w:pPr>
        <w:outlineLvl w:val="1"/>
        <w:rPr>
          <w:rFonts w:ascii="宋体" w:hAnsi="宋体"/>
          <w:b/>
          <w:color w:val="FF0000"/>
          <w:sz w:val="28"/>
          <w:szCs w:val="28"/>
        </w:rPr>
      </w:pPr>
      <w:bookmarkStart w:id="66" w:name="_Hlk72260530"/>
      <w:r>
        <w:rPr>
          <w:rFonts w:ascii="宋体" w:hAnsi="宋体" w:hint="eastAsia"/>
          <w:b/>
          <w:color w:val="FF0000"/>
          <w:sz w:val="28"/>
          <w:szCs w:val="28"/>
        </w:rPr>
        <w:t>投标文件附件（信息不公开部分）</w:t>
      </w:r>
    </w:p>
    <w:p>
      <w:pPr>
        <w:pStyle w:val="Heading3"/>
        <w:jc w:val="center"/>
        <w:rPr>
          <w:rFonts w:ascii="黑体" w:eastAsia="黑体"/>
          <w:b w:val="0"/>
          <w:sz w:val="24"/>
        </w:rPr>
      </w:pPr>
      <w:r>
        <w:rPr>
          <w:rFonts w:ascii="黑体" w:eastAsia="黑体" w:hint="eastAsia"/>
          <w:b w:val="0"/>
          <w:sz w:val="24"/>
        </w:rPr>
        <w:t>一、</w:t>
      </w:r>
      <w:bookmarkStart w:id="67" w:name="_Hlk72092499"/>
      <w:r>
        <w:rPr>
          <w:rFonts w:ascii="黑体" w:eastAsia="黑体" w:hint="eastAsia"/>
          <w:b w:val="0"/>
          <w:sz w:val="24"/>
        </w:rPr>
        <w:t>法定代表人（负责人）证明书</w:t>
      </w:r>
      <w:bookmarkEnd w:id="67"/>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同志，身份证号码：</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Pr>
        <w:spacing w:line="360" w:lineRule="auto"/>
        <w:ind w:firstLine="420" w:firstLineChars="200"/>
        <w:rPr>
          <w:b/>
          <w:bCs/>
          <w:sz w:val="24"/>
        </w:rPr>
      </w:pP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20" w:firstLineChars="200"/>
        <w:rPr>
          <w:szCs w:val="21"/>
        </w:rPr>
      </w:pPr>
      <w:r>
        <w:rPr>
          <w:rFonts w:hint="eastAsia"/>
          <w:szCs w:val="21"/>
        </w:rPr>
        <w:t>本授权委托书声明：我（姓名）</w:t>
      </w:r>
      <w:r>
        <w:rPr>
          <w:rFonts w:hint="eastAsia"/>
          <w:szCs w:val="21"/>
          <w:u w:val="single"/>
        </w:rPr>
        <w:t xml:space="preserve">                   </w:t>
      </w:r>
      <w:r>
        <w:rPr>
          <w:rFonts w:hint="eastAsia"/>
          <w:szCs w:val="21"/>
        </w:rPr>
        <w:t xml:space="preserve"> 系（投标人名称）</w:t>
      </w:r>
      <w:r>
        <w:rPr>
          <w:rFonts w:hint="eastAsia"/>
          <w:szCs w:val="21"/>
          <w:u w:val="single"/>
        </w:rPr>
        <w:t xml:space="preserve">                                    </w:t>
      </w:r>
      <w:r>
        <w:rPr>
          <w:rFonts w:hint="eastAsia"/>
          <w:szCs w:val="21"/>
        </w:rPr>
        <w:t xml:space="preserve">  的法定代表人（负责人），现授权委托（姓名）</w:t>
      </w:r>
      <w:r>
        <w:rPr>
          <w:szCs w:val="21"/>
          <w:u w:val="single"/>
        </w:rPr>
        <w:t xml:space="preserve">                   </w:t>
      </w:r>
      <w:r>
        <w:rPr>
          <w:rFonts w:hint="eastAsia"/>
          <w:szCs w:val="21"/>
        </w:rPr>
        <w:t>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pStyle w:val="NormalIndent"/>
        <w:spacing w:line="360" w:lineRule="auto"/>
        <w:ind w:left="540" w:firstLine="0" w:leftChars="257"/>
        <w:rPr>
          <w:szCs w:val="21"/>
        </w:rPr>
      </w:pPr>
      <w:r>
        <w:rPr>
          <w:rFonts w:hint="eastAsia"/>
          <w:szCs w:val="21"/>
        </w:rPr>
        <w:t>代理人：</w:t>
      </w:r>
      <w:r>
        <w:rPr>
          <w:rFonts w:hint="eastAsia"/>
          <w:szCs w:val="21"/>
          <w:u w:val="single"/>
        </w:rPr>
        <w:t xml:space="preserve">                                    </w:t>
      </w:r>
      <w:r>
        <w:rPr>
          <w:rFonts w:hint="eastAsia"/>
          <w:szCs w:val="21"/>
          <w:u w:val="single"/>
        </w:rPr>
        <w:tab/>
      </w:r>
      <w:r>
        <w:rPr>
          <w:rFonts w:hint="eastAsia"/>
          <w:szCs w:val="21"/>
          <w:u w:val="single"/>
        </w:rPr>
        <w:t xml:space="preserve">          </w:t>
      </w:r>
    </w:p>
    <w:p>
      <w:pPr>
        <w:spacing w:line="360" w:lineRule="auto"/>
        <w:ind w:left="540" w:leftChars="257"/>
        <w:rPr>
          <w:szCs w:val="21"/>
        </w:rPr>
      </w:pPr>
      <w:r>
        <w:rPr>
          <w:rFonts w:hint="eastAsia"/>
          <w:szCs w:val="21"/>
        </w:rPr>
        <w:t>联系电话：</w:t>
      </w:r>
      <w:r>
        <w:rPr>
          <w:rFonts w:hint="eastAsia"/>
          <w:szCs w:val="21"/>
          <w:u w:val="single"/>
        </w:rPr>
        <w:t xml:space="preserve">                                    </w:t>
      </w:r>
      <w:r>
        <w:rPr>
          <w:rFonts w:hint="eastAsia"/>
          <w:szCs w:val="21"/>
          <w:u w:val="single"/>
        </w:rPr>
        <w:tab/>
      </w:r>
      <w:r>
        <w:rPr>
          <w:rFonts w:hint="eastAsia"/>
          <w:szCs w:val="21"/>
        </w:rPr>
        <w:t xml:space="preserve">                邮箱：</w:t>
      </w:r>
      <w:r>
        <w:rPr>
          <w:rFonts w:hint="eastAsia"/>
          <w:szCs w:val="21"/>
          <w:u w:val="single"/>
        </w:rPr>
        <w:t xml:space="preserve">                                    </w:t>
      </w:r>
      <w:r>
        <w:rPr>
          <w:rFonts w:hint="eastAsia"/>
          <w:szCs w:val="21"/>
          <w:u w:val="single"/>
        </w:rPr>
        <w:tab/>
      </w:r>
    </w:p>
    <w:p>
      <w:pPr>
        <w:spacing w:line="360" w:lineRule="auto"/>
        <w:ind w:left="540" w:leftChars="257"/>
        <w:rPr>
          <w:szCs w:val="21"/>
          <w:u w:val="single"/>
        </w:rPr>
      </w:pPr>
      <w:r>
        <w:rPr>
          <w:rFonts w:hint="eastAsia"/>
          <w:szCs w:val="21"/>
        </w:rPr>
        <w:t>身份证号码：</w:t>
      </w:r>
      <w:r>
        <w:rPr>
          <w:rFonts w:hint="eastAsia"/>
          <w:szCs w:val="21"/>
          <w:u w:val="single"/>
        </w:rPr>
        <w:t xml:space="preserve">                                    </w:t>
      </w:r>
      <w:r>
        <w:rPr>
          <w:rFonts w:hint="eastAsia"/>
          <w:szCs w:val="21"/>
          <w:u w:val="single"/>
        </w:rPr>
        <w:tab/>
      </w:r>
      <w:r>
        <w:rPr>
          <w:rFonts w:hint="eastAsia"/>
          <w:szCs w:val="21"/>
        </w:rPr>
        <w:t xml:space="preserve">               职务：</w:t>
      </w:r>
      <w:r>
        <w:rPr>
          <w:rFonts w:hint="eastAsia"/>
          <w:szCs w:val="21"/>
          <w:u w:val="single"/>
        </w:rPr>
        <w:t xml:space="preserve">                                    </w:t>
      </w:r>
      <w:r>
        <w:rPr>
          <w:rFonts w:hint="eastAsia"/>
          <w:szCs w:val="21"/>
          <w:u w:val="single"/>
        </w:rPr>
        <w:tab/>
      </w:r>
    </w:p>
    <w:p>
      <w:pPr>
        <w:spacing w:line="360" w:lineRule="auto"/>
        <w:ind w:left="540" w:leftChars="257"/>
        <w:rPr>
          <w:szCs w:val="21"/>
        </w:rPr>
      </w:pPr>
      <w:r>
        <w:rPr>
          <w:rFonts w:hint="eastAsia"/>
          <w:szCs w:val="21"/>
        </w:rPr>
        <w:t>授权委托日期：</w:t>
      </w:r>
      <w:r>
        <w:rPr>
          <w:rFonts w:hint="eastAsia"/>
          <w:szCs w:val="21"/>
          <w:u w:val="single"/>
        </w:rPr>
        <w:t xml:space="preserve">             </w:t>
      </w:r>
      <w:r>
        <w:rPr>
          <w:rFonts w:hint="eastAsia"/>
          <w:szCs w:val="21"/>
        </w:rPr>
        <w:t xml:space="preserve"> 年</w:t>
      </w:r>
      <w:r>
        <w:rPr>
          <w:rFonts w:hint="eastAsia"/>
          <w:szCs w:val="21"/>
          <w:u w:val="single"/>
        </w:rPr>
        <w:t xml:space="preserve">        </w:t>
      </w:r>
      <w:r>
        <w:rPr>
          <w:rFonts w:hint="eastAsia"/>
          <w:szCs w:val="21"/>
          <w:u w:val="single"/>
        </w:rPr>
        <w:tab/>
      </w:r>
      <w:r>
        <w:rPr>
          <w:rFonts w:hint="eastAsia"/>
          <w:szCs w:val="21"/>
        </w:rPr>
        <w:t xml:space="preserve">月  </w:t>
      </w:r>
      <w:r>
        <w:rPr>
          <w:rFonts w:hint="eastAsia"/>
          <w:szCs w:val="21"/>
          <w:u w:val="single"/>
        </w:rPr>
        <w:t xml:space="preserve">             </w:t>
      </w:r>
      <w:r>
        <w:rPr>
          <w:rFonts w:hint="eastAsia"/>
          <w:szCs w:val="21"/>
          <w:u w:val="single"/>
        </w:rPr>
        <w:tab/>
      </w:r>
      <w:r>
        <w:rPr>
          <w:rFonts w:hint="eastAsia"/>
          <w:szCs w:val="21"/>
        </w:rPr>
        <w:t xml:space="preserve"> 日</w:t>
      </w:r>
    </w:p>
    <w:p/>
    <w:p>
      <w:pPr>
        <w:spacing w:line="360" w:lineRule="auto"/>
        <w:ind w:firstLine="420" w:firstLineChars="200"/>
        <w:rPr>
          <w:b/>
          <w:color w:val="FF0000"/>
          <w:szCs w:val="21"/>
        </w:rPr>
      </w:pPr>
      <w:r>
        <w:rPr>
          <w:rFonts w:hint="eastAsia"/>
          <w:b/>
          <w:color w:val="FF0000"/>
          <w:szCs w:val="21"/>
        </w:rPr>
        <w:t>附： 请提供代理人身份证扫描件（正反两面）；港澳台居民可提供来往通行证扫描件；非中国国籍管辖范围人员，可提供公安部门认可的身份证明材料扫描件。</w:t>
      </w:r>
    </w:p>
    <w:p>
      <w:pPr>
        <w:spacing w:line="360" w:lineRule="auto"/>
        <w:rPr>
          <w:b/>
          <w:szCs w:val="21"/>
        </w:rPr>
      </w:pPr>
    </w:p>
    <w:p>
      <w:pPr>
        <w:pStyle w:val="Heading3"/>
        <w:jc w:val="center"/>
        <w:rPr>
          <w:rFonts w:ascii="黑体" w:eastAsia="黑体"/>
          <w:b w:val="0"/>
          <w:kern w:val="0"/>
          <w:sz w:val="24"/>
          <w:szCs w:val="24"/>
        </w:rPr>
      </w:pPr>
      <w:r>
        <w:rPr>
          <w:rFonts w:ascii="黑体" w:eastAsia="黑体" w:hint="eastAsia"/>
          <w:b w:val="0"/>
          <w:kern w:val="0"/>
          <w:sz w:val="24"/>
          <w:szCs w:val="24"/>
        </w:rPr>
        <w:t>三、</w:t>
      </w:r>
      <w:bookmarkStart w:id="68" w:name="_Hlk72092634"/>
      <w:r>
        <w:rPr>
          <w:rFonts w:ascii="黑体" w:eastAsia="黑体" w:hint="eastAsia"/>
          <w:b w:val="0"/>
          <w:kern w:val="0"/>
          <w:sz w:val="24"/>
          <w:szCs w:val="24"/>
        </w:rPr>
        <w:t>实质性条款响应情况表</w:t>
      </w:r>
      <w:bookmarkEnd w:id="68"/>
    </w:p>
    <w:tbl>
      <w:tblPr>
        <w:tblStyle w:val="TableNormal"/>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97"/>
        <w:gridCol w:w="5315"/>
        <w:gridCol w:w="1276"/>
        <w:gridCol w:w="812"/>
        <w:gridCol w:w="629"/>
      </w:tblGrid>
      <w:tr>
        <w:tblPrEx>
          <w:tblW w:w="85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497" w:type="dxa"/>
            <w:vAlign w:val="center"/>
          </w:tcPr>
          <w:p>
            <w:pPr>
              <w:adjustRightInd w:val="0"/>
              <w:snapToGrid w:val="0"/>
              <w:spacing w:line="360" w:lineRule="auto"/>
              <w:jc w:val="center"/>
              <w:rPr>
                <w:rFonts w:ascii="宋体" w:hAnsi="宋体"/>
                <w:kern w:val="0"/>
                <w:szCs w:val="21"/>
              </w:rPr>
            </w:pPr>
            <w:bookmarkStart w:id="69" w:name="_Hlk72092651"/>
            <w:r>
              <w:rPr>
                <w:rFonts w:ascii="宋体" w:hAnsi="宋体" w:hint="eastAsia"/>
                <w:kern w:val="0"/>
                <w:szCs w:val="21"/>
              </w:rPr>
              <w:t>序号</w:t>
            </w:r>
          </w:p>
        </w:tc>
        <w:tc>
          <w:tcPr>
            <w:tcW w:w="5315" w:type="dxa"/>
            <w:vAlign w:val="center"/>
          </w:tcPr>
          <w:p>
            <w:pPr>
              <w:adjustRightInd w:val="0"/>
              <w:snapToGrid w:val="0"/>
              <w:spacing w:line="360" w:lineRule="auto"/>
              <w:jc w:val="center"/>
              <w:rPr>
                <w:rFonts w:ascii="宋体" w:hAnsi="宋体"/>
                <w:kern w:val="0"/>
                <w:szCs w:val="21"/>
              </w:rPr>
            </w:pPr>
            <w:r>
              <w:rPr>
                <w:rFonts w:ascii="宋体" w:hAnsi="宋体" w:hint="eastAsia"/>
                <w:kern w:val="0"/>
                <w:szCs w:val="21"/>
              </w:rPr>
              <w:t>实质性条款具体内容</w:t>
            </w:r>
          </w:p>
        </w:tc>
        <w:tc>
          <w:tcPr>
            <w:tcW w:w="1276"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81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629" w:type="dxa"/>
            <w:vAlign w:val="center"/>
          </w:tcPr>
          <w:p>
            <w:pPr>
              <w:adjustRightInd w:val="0"/>
              <w:snapToGrid w:val="0"/>
              <w:spacing w:line="360" w:lineRule="auto"/>
              <w:jc w:val="center"/>
              <w:rPr>
                <w:rFonts w:ascii="宋体" w:hAnsi="宋体"/>
                <w:kern w:val="0"/>
                <w:szCs w:val="21"/>
              </w:rPr>
            </w:pPr>
            <w:r>
              <w:rPr>
                <w:rFonts w:hint="eastAsia"/>
              </w:rPr>
              <w:t>说明</w:t>
            </w:r>
          </w:p>
        </w:tc>
      </w:tr>
      <w:tr>
        <w:tblPrEx>
          <w:tblW w:w="8529" w:type="dxa"/>
          <w:tblInd w:w="0" w:type="dxa"/>
          <w:tblLayout w:type="fixed"/>
          <w:tblCellMar>
            <w:top w:w="0" w:type="dxa"/>
            <w:left w:w="108" w:type="dxa"/>
            <w:bottom w:w="0" w:type="dxa"/>
            <w:right w:w="108" w:type="dxa"/>
          </w:tblCellMar>
        </w:tblPrEx>
        <w:tc>
          <w:tcPr>
            <w:tcW w:w="497" w:type="dxa"/>
          </w:tcPr>
          <w:p>
            <w:pPr>
              <w:adjustRightInd w:val="0"/>
              <w:snapToGrid w:val="0"/>
              <w:spacing w:line="360" w:lineRule="auto"/>
              <w:rPr>
                <w:rFonts w:ascii="宋体" w:hAnsi="宋体"/>
                <w:kern w:val="0"/>
                <w:szCs w:val="21"/>
              </w:rPr>
            </w:pPr>
            <w:bookmarkEnd w:id="69"/>
            <w:r>
              <w:rPr>
                <w:rFonts w:ascii="宋体" w:hAnsi="宋体" w:hint="eastAsia"/>
                <w:kern w:val="0"/>
                <w:szCs w:val="21"/>
              </w:rPr>
              <w:t>1</w:t>
            </w:r>
          </w:p>
        </w:tc>
        <w:tc>
          <w:tcPr>
            <w:tcW w:w="5315" w:type="dxa"/>
            <w:vAlign w:val="center"/>
          </w:tcPr>
          <w:p>
            <w:pPr>
              <w:adjustRightInd w:val="0"/>
              <w:snapToGrid w:val="0"/>
              <w:spacing w:line="360" w:lineRule="auto"/>
              <w:jc w:val="left"/>
              <w:rPr>
                <w:rFonts w:hAnsi="宋体"/>
                <w:kern w:val="0"/>
                <w:szCs w:val="21"/>
              </w:rPr>
            </w:pPr>
            <w:r>
              <w:rPr>
                <w:rFonts w:hint="eastAsia"/>
              </w:rPr>
              <w:t>满足本项目标★的条款要求</w:t>
            </w:r>
          </w:p>
        </w:tc>
        <w:tc>
          <w:tcPr>
            <w:tcW w:w="1276" w:type="dxa"/>
          </w:tcPr>
          <w:p>
            <w:pPr>
              <w:adjustRightInd w:val="0"/>
              <w:snapToGrid w:val="0"/>
              <w:spacing w:line="360" w:lineRule="auto"/>
              <w:rPr>
                <w:rFonts w:ascii="宋体" w:hAnsi="宋体"/>
                <w:kern w:val="0"/>
                <w:szCs w:val="21"/>
              </w:rPr>
            </w:pPr>
          </w:p>
        </w:tc>
        <w:tc>
          <w:tcPr>
            <w:tcW w:w="812" w:type="dxa"/>
          </w:tcPr>
          <w:p>
            <w:pPr>
              <w:adjustRightInd w:val="0"/>
              <w:snapToGrid w:val="0"/>
              <w:spacing w:line="360" w:lineRule="auto"/>
              <w:rPr>
                <w:rFonts w:ascii="宋体" w:hAnsi="宋体"/>
                <w:kern w:val="0"/>
                <w:szCs w:val="21"/>
              </w:rPr>
            </w:pPr>
          </w:p>
        </w:tc>
        <w:tc>
          <w:tcPr>
            <w:tcW w:w="629" w:type="dxa"/>
          </w:tcPr>
          <w:p>
            <w:pPr>
              <w:adjustRightInd w:val="0"/>
              <w:snapToGrid w:val="0"/>
              <w:spacing w:line="360" w:lineRule="auto"/>
              <w:rPr>
                <w:rFonts w:ascii="宋体" w:hAnsi="宋体"/>
                <w:kern w:val="0"/>
                <w:szCs w:val="21"/>
              </w:rPr>
            </w:pPr>
          </w:p>
        </w:tc>
      </w:tr>
    </w:tbl>
    <w:p>
      <w:pPr>
        <w:ind w:firstLine="420" w:firstLineChars="200"/>
        <w:rPr>
          <w:b/>
          <w:sz w:val="24"/>
          <w:szCs w:val="22"/>
        </w:rPr>
      </w:pPr>
    </w:p>
    <w:p>
      <w:pPr>
        <w:ind w:firstLine="420" w:firstLineChars="200"/>
        <w:rPr>
          <w:b/>
          <w:sz w:val="24"/>
          <w:szCs w:val="22"/>
        </w:rPr>
      </w:pPr>
      <w:r>
        <w:rPr>
          <w:rFonts w:hint="eastAsia"/>
          <w:b/>
          <w:sz w:val="24"/>
          <w:szCs w:val="22"/>
        </w:rPr>
        <w:t>注：1. 上表所列各项均为不可负偏离条款。</w:t>
      </w:r>
    </w:p>
    <w:p>
      <w:pPr>
        <w:ind w:firstLine="420"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20"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20" w:firstLineChars="200"/>
        <w:rPr>
          <w:sz w:val="24"/>
        </w:rPr>
      </w:pPr>
      <w:r>
        <w:rPr>
          <w:b/>
          <w:sz w:val="24"/>
        </w:rPr>
        <w:t>4.</w:t>
      </w:r>
      <w:r>
        <w:rPr>
          <w:rFonts w:hint="eastAsia"/>
          <w:b/>
          <w:sz w:val="24"/>
        </w:rPr>
        <w:t>评审委员会有权根据实质性条款响应情况作出评判。</w:t>
      </w:r>
      <w:bookmarkEnd w:id="66"/>
    </w:p>
    <w:p>
      <w:pPr>
        <w:pStyle w:val="Heading3"/>
        <w:jc w:val="center"/>
        <w:rPr>
          <w:sz w:val="24"/>
        </w:rPr>
      </w:pPr>
      <w:r>
        <w:rPr>
          <w:rFonts w:ascii="黑体" w:eastAsia="黑体" w:hint="eastAsia"/>
          <w:b w:val="0"/>
          <w:sz w:val="24"/>
          <w:szCs w:val="24"/>
        </w:rPr>
        <w:t>四、技术要求偏离表</w:t>
      </w:r>
    </w:p>
    <w:tbl>
      <w:tblPr>
        <w:tblStyle w:val="TableNormal"/>
        <w:tblW w:w="8156" w:type="dxa"/>
        <w:tblInd w:w="93" w:type="dxa"/>
        <w:tblLayout w:type="fixed"/>
        <w:tblCellMar>
          <w:top w:w="0" w:type="dxa"/>
          <w:left w:w="108" w:type="dxa"/>
          <w:bottom w:w="0" w:type="dxa"/>
          <w:right w:w="108" w:type="dxa"/>
        </w:tblCellMar>
      </w:tblPr>
      <w:tblGrid>
        <w:gridCol w:w="638"/>
        <w:gridCol w:w="1148"/>
        <w:gridCol w:w="524"/>
        <w:gridCol w:w="3410"/>
        <w:gridCol w:w="1054"/>
        <w:gridCol w:w="800"/>
        <w:gridCol w:w="582"/>
      </w:tblGrid>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8" w:space="0" w:color="000000"/>
              <w:left w:val="single" w:sz="8" w:space="0" w:color="000000"/>
              <w:bottom w:val="nil"/>
              <w:right w:val="single" w:sz="8"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bookmarkStart w:id="70" w:name="_Hlk72095977"/>
            <w:r>
              <w:rPr>
                <w:rFonts w:ascii="宋体" w:hAnsi="宋体" w:cs="宋体" w:hint="eastAsia"/>
                <w:b/>
                <w:bCs/>
                <w:color w:val="000000"/>
                <w:kern w:val="0"/>
                <w:szCs w:val="21"/>
              </w:rPr>
              <w:t>一、视频显示系统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投标技术响应</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偏离情况</w:t>
            </w: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说明</w:t>
            </w: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高清激光投影机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1、▲亮度：≥7000流明，检测依据 ISO/IEC 21118:2020《Informationtechnology-0ffice equipment-Information to be included inspecification sheets for data projectors》; SJ/T 11346-2015《电子投影机测量方法》；提供</w:t>
            </w:r>
            <w:r>
              <w:rPr>
                <w:rFonts w:ascii="宋体" w:hAnsi="宋体" w:cs="宋体" w:hint="eastAsia"/>
                <w:b/>
                <w:bCs/>
                <w:color w:val="FF0000"/>
                <w:kern w:val="0"/>
                <w:szCs w:val="21"/>
                <w:lang w:val="en-US" w:eastAsia="zh-CN"/>
              </w:rPr>
              <w:t>2020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日至本项目投标截止日第三方检验检测机构出具的具有CMA和CNAS标识的检验（检测）报告扫描件，原件备查。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2、▲分辨率：≥WUXGA （1920 x 1200）；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3、投射比：≤1.4-2.2；</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4、显示宽高比：16：10或16：9；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5、对比度：≥1000000:1；</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6、▲显示技术：3LCD；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7、电动镜头位移：≥±55%（垂直），≥±25%（水平）；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8、输入接口：≥HDMI×1、DVI-D×1、HDBaseT×1、VGA×1、RS-232C×1，RJ45×1；</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9、光源寿命：≥20000小时；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幕布</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1、类型：电动幕布；</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2、尺寸：150英寸；</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3、幕基：白塑幕或玻珠；</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4、显示比例≥16：9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超短焦激光投影机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1、▲亮度：≥5000LM；检测依据 ISO/IEC 21118:2020《Informationtechnology-0ffice equipment-Information to be included inspecification sheets for data projectors》; SJ/T 11346-2015《电子投影机测量方法》；提供20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日至本项目投标截止日第三方检验检测机构出具的具有CMA和CNAS标识的检验（检测）报告扫描件，原件备查。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2、▲分辨率：≥1920 x 1080；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3、显示宽高比：16：10或16：9；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4、对比度：≥1000000:1；</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5、显示技术：LCD；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6、投射比：≤0.28；</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7、输入接口：≥HDMI×2，HDBaseT×1，VGA×2、RS-232C×1，RJ45×1；</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8、光源寿命：≥20000小时；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交互式触控投影屏幕（100寸）</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1、同时具备投影幕（影像承载）和电磁式电子白板（电子书写）功能；高清漫反射投影幕布，反射增益≥1.0，可视角≥150°，防水，防刮，耐书写，无光斑；</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2、▲采用双层技术；采用双层独立拉簧安装工艺，感应层采用柔性可卷线路工艺制作；</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3、定位技术：电磁感应技术；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4、书写尺寸：书写尺寸≥100英寸（长度≥2210mm*宽度≥1250mm）,屏幕比例16:9；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5、外观尺寸：长度≥2340mm*宽度≥1380mm；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6、▲书写参数：采样点数≥250点/秒，识别精度≤3mm，反应灵敏无丢笔、跳笔、低延时，异物检测功能，不会造成任何误操作；</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7、响应时间：≤4ms；坐标校准：6点、9点、12点，三种多点校准方式；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8、操作系统：Windows XP /Windows2000/ Windows 7/ Windows 10；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9、传输方式：USB2.0+2.4G RF；</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10、传输距离：有效传输距离≥20米；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11、供电方式： USB供电，无需单独电源；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12、边框设计：铝合金材质+表面静电植绒；</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13、书写配件：多功能电磁书写笔2支（带智能锁、无线充电、电磁书写、PPT翻页功能）；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14、扩展书写：弯头电磁教鞭1支（带智能锁、无线充电、激光指示、PPT翻页、电磁书写功能）；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15、处理器：信号处理器≥1块（可拆卸式）；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16、配件管理：智能锁充电座≥1个（带智能锁，带无线充电功能）；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交互式触控投影屏幕（120寸）</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1、▲同时具备投影幕（影像承载）和电磁式电子白板（电子书写）功能；高清漫反射投影幕布，反射增益≥1.0，可视角≥150°，防水，防刮，耐书写，无光斑；</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2、采用双层技术；采用双层独立拉簧安装工艺，感应层采用柔性可卷线路工艺制作；</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3、▲定位技术：电磁感应技术；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4、书写尺寸：书写尺寸≥120英寸（长度≥2660mm*宽度≥1500mm）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5、屏幕比例16:9；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6、外观尺寸：长度≥2790mm*宽度≥1630mm；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7、书写参数：采样点数≥250点/秒，识别精度≤3mm，反应灵敏无丢笔、跳笔、低延时，异物检测功能，不会造成任何误操作；</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8、响应时间：≤4ms；坐标校准：6点、9点、12点，三种多点校准方式；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9、操作系统：Windows XP /Windows2000/ Windows 7/ Windows 10；传输方式：USB2.0+2.4G RF；</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10、传输距离：有效传输距离≥20米；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11、供电方式： USB供电，无需单独电源；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12、边框设计：铝合金材质+表面静电植绒；</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13、书写配件：多功能电磁书写笔2支（带智能锁、无线充电、电磁书写、PPT翻页功能）；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14、扩展书写：弯头电磁教鞭1支（带智能锁、无线充电、激光指示、PPT翻页、电磁书写功能）；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15、处理器：信号处理器≥1块（可拆卸式）；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16、配件管理：智能锁充电座≥1个（带智能锁，带无线充电功能）；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学生交互教学终端</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1、尺寸≥65英寸，采用不低于A+规屏；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2、分辨率≥3840*2160；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3、显示比例16:9；；</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4、触摸屏采用红外感应技术，在双系统下均支持不少于20点触控，触摸分辨率≥32768（W）*32768（D）；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5、屏幕表面采用 3.2mm 厚防眩光钢化玻璃，透光率不低于 88%，表面硬度不低于莫氏 7 级。屏体采用防蓝光设计；</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6、设置windows模式后，开机可直接进行windows操作系统，方便教学中单一系统直接操作。；</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7、触摸屏嵌入式Android操作系统下，内置互动白板书写完成后须支持本地保存、邮件分享、微信等主流应用扫码带走功能，方便老师实时保存课堂书写内容；</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8、通过产品前面板独立物理按钮可实现唤醒、开机功能；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9、为方便日常教学投屏使用，须支持多种投屏方式，须包括但不限于 APP 投屏、手机下拉菜单软投屏等方式；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10、触摸屏内置安卓系统，CPU采用四核，ROM≥32GB，RAM≥4GB，系统版本不低于9.0，支持在线升级；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11、支持在无外接OPS电脑状态下，嵌入式Android操作系统下可实现windows系统中常用的教学应用功能，如白板书写、WPS软件使用、网页浏览、图片浏览、视频播放；</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765"/>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highlight w:val="none"/>
              </w:rPr>
              <w:t>12、▲在不同光照环境下，终端能感应并自动调节屏幕不同亮度的显示效果；须支持断点续传功能，终端升级过程中发生网络中断、断电重启，恢复后可断点续传，避免升级失败。提供20</w:t>
            </w:r>
            <w:r>
              <w:rPr>
                <w:rFonts w:ascii="宋体" w:hAnsi="宋体" w:cs="宋体" w:hint="eastAsia"/>
                <w:b/>
                <w:bCs/>
                <w:color w:val="FF0000"/>
                <w:kern w:val="0"/>
                <w:szCs w:val="21"/>
                <w:highlight w:val="none"/>
                <w:lang w:val="en-US" w:eastAsia="zh-CN"/>
              </w:rPr>
              <w:t>20</w:t>
            </w:r>
            <w:r>
              <w:rPr>
                <w:rFonts w:ascii="宋体" w:hAnsi="宋体" w:cs="宋体" w:hint="eastAsia"/>
                <w:b/>
                <w:bCs/>
                <w:color w:val="FF0000"/>
                <w:kern w:val="0"/>
                <w:szCs w:val="21"/>
                <w:highlight w:val="none"/>
              </w:rPr>
              <w:t>年</w:t>
            </w:r>
            <w:r>
              <w:rPr>
                <w:rFonts w:ascii="宋体" w:hAnsi="宋体" w:cs="宋体" w:hint="eastAsia"/>
                <w:b/>
                <w:bCs/>
                <w:color w:val="FF0000"/>
                <w:kern w:val="0"/>
                <w:szCs w:val="21"/>
                <w:highlight w:val="none"/>
                <w:lang w:val="en-US" w:eastAsia="zh-CN"/>
              </w:rPr>
              <w:t>1</w:t>
            </w:r>
            <w:r>
              <w:rPr>
                <w:rFonts w:ascii="宋体" w:hAnsi="宋体" w:cs="宋体" w:hint="eastAsia"/>
                <w:b/>
                <w:bCs/>
                <w:color w:val="FF0000"/>
                <w:kern w:val="0"/>
                <w:szCs w:val="21"/>
                <w:highlight w:val="none"/>
              </w:rPr>
              <w:t>月</w:t>
            </w:r>
            <w:r>
              <w:rPr>
                <w:rFonts w:ascii="宋体" w:hAnsi="宋体" w:cs="宋体" w:hint="eastAsia"/>
                <w:b/>
                <w:bCs/>
                <w:color w:val="FF0000"/>
                <w:kern w:val="0"/>
                <w:szCs w:val="21"/>
                <w:highlight w:val="none"/>
                <w:lang w:val="en-US" w:eastAsia="zh-CN"/>
              </w:rPr>
              <w:t>1</w:t>
            </w:r>
            <w:r>
              <w:rPr>
                <w:rFonts w:ascii="宋体" w:hAnsi="宋体" w:cs="宋体" w:hint="eastAsia"/>
                <w:b/>
                <w:bCs/>
                <w:color w:val="FF0000"/>
                <w:kern w:val="0"/>
                <w:szCs w:val="21"/>
                <w:highlight w:val="none"/>
              </w:rPr>
              <w:t>日至本项目投标截止日第三方检验检测机构出具检验（检测）报告扫描件，原件备查。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highlight w:val="none"/>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highlight w:val="none"/>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highlight w:val="none"/>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w:t>
            </w:r>
            <w:r>
              <w:rPr>
                <w:rFonts w:ascii="宋体" w:hAnsi="宋体" w:cs="宋体" w:hint="eastAsia"/>
                <w:kern w:val="0"/>
                <w:szCs w:val="21"/>
              </w:rPr>
              <w:t>★</w:t>
            </w:r>
            <w:r>
              <w:rPr>
                <w:rFonts w:ascii="宋体" w:hAnsi="宋体" w:cs="宋体" w:hint="eastAsia"/>
                <w:color w:val="000000"/>
                <w:kern w:val="0"/>
                <w:szCs w:val="21"/>
              </w:rPr>
              <w:t>插拔式OPS微型PC设计，CPU主频：≥2.3GHz，内存≥8GB，固态硬盘≥256G；支持WIFI无线网络，带RJ45接口100M/1000Mbs；</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14、前置面板需具有以下输入接口：≥1 路标准非转接 Type- c 接口、≥2 路双通道 USB3.0 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15、整机后置≥2 路 HDMI 输入接口、≥1 路 HDMI 输出接口、≥1 路 MIC 输入接口、≥1 路 MIC 输出接口、≥1 路 RJ45 接口、≥1 路 COM 接口、≥1 路 USB3.0 Type-A 接口、≥1 路 USB Type-B 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16、整机能感应并自动调节屏幕，来达到在不同光照环境下的不同亮度显示效果，此功能可自行开启或关闭。</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智能互动交互系统</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1、主讲端与听讲端各分组一键连接。主讲端与听讲端任意设置切换；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2、支持广域网接入、并且支持RTSP协议高清摄像机接入；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3、分组画面预览：支持8分组的实时画面同时在主界面进行小窗口预览、点击预览窗口可放大显示；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4、分组画面展示：支持将任意端的展示画面调取、并进行同步展示、且支持同时调取两端的展示画面进行对比展示；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5、分组画面任意切换和调取、支持在调取的画面上进行批注；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6、支持在教学大屏端和小组端上对讨论内容进行批注、并可以将批注的书写过程同步到所有学生屏幕；</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7、可实现学生考勤：支持学生扫码签到、老师及管理人员可实时查看数据；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8、课堂互动：支持抢答、抽答、弹幕等课中互动工具；</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9、无线投屏功能，兼容安卓、IOS、Windows系统，投屏分辨率:1080P；</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10、▲提供智能互动交互系统相关的软件著作权软件证书扫描件，原件备查</w:t>
            </w:r>
            <w:r>
              <w:rPr>
                <w:rFonts w:ascii="宋体" w:hAnsi="宋体" w:cs="宋体" w:hint="eastAsia"/>
                <w:color w:val="000000"/>
                <w:kern w:val="0"/>
                <w:szCs w:val="21"/>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教师电脑主机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1、CPU主频: ≥3GHz；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2、内存：≥8G；</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3、存储：≥1T+128G；</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4、显卡：≥1G独显。</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触控显示器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1、尺寸：≥23.8寸；</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2、类型：IPS屏；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3、触控：10点触控；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4、接口：HDMI/VGA/DP/USB端口。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无线投屏器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1、无需安装任何软件，按连接分享按钮（USB连接），即可通过无线方式将演示内容即时分享到屏幕上；</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2、支持显示比例可调整，等比，4：3，16：9，16：10；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 Windows7/8/10 32位和64位，支持 Mac OSX 10.10/10.11/10.12和更高版本，支持Android 5.0和更高版本，支持iOS 9.0 和更高版本（Airplay镜像）；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4、支持Airplay与Mirocast协议；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5、支持每秒帧数≥30帧；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6、支持最高分辨率≥1080p；</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7、支持屏幕上同时显示≥4路视频信号源；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8、支持HDMI内嵌音频和3.5mm模拟新路音频输出；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9、支持传输范围≥60米；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10、支持可选择的信道：2.4G≥11个，5G≥9个；11.HDMI接口≥1路，网络接口≥1路，3.5mm音频接口≥1路，USB接口≥2路。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11、与视频矩阵同一品牌。</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音视频采集卡</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1、支持USB3.0音视频采集，最高分辨率≥1920*1080P@60Hz；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2、SDI输入接口≥1路，3.5插头麦克风输入接口≥1路；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3、支持音频格式：Stereo/16-bit/48000HZ；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4、支持操作系统：Kylin/windows8/windows10/,MAC OS/Android；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5、★免驱动，即插即用；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视频传输器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1、支持分辨率:≥4K@30HZ、1920×1200@60Hz向下兼容；</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2、CAT5E\CAT6网线可以将HDMI信号传输1080P≥70米；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3、支持HDMI1.4，HDCP兼容；</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4、支持RS232、IR；</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5、安装简单，支持热插拔，即插即用.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6、与视频矩阵同一品牌。</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视频矩阵</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1、支持≥16通道视频信号输入输出切换，视频矩阵接口采用插卡式模块化设计，视频接口单卡单路，子卡支持热插拔功能及单独电源管理；</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2、支持≥19.5Gbps数据速率的数字背板；支持HDMI2.0及HDCP 2.2向下兼容；最高支持分辨率≥4096*2160@60Hz 4:4:4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765"/>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宋体"/>
                <w:b/>
                <w:bCs/>
                <w:color w:val="FF0000"/>
                <w:szCs w:val="21"/>
              </w:rPr>
            </w:pPr>
            <w:r>
              <w:rPr>
                <w:rFonts w:ascii="宋体" w:hAnsi="宋体" w:cs="宋体" w:hint="eastAsia"/>
                <w:b/>
                <w:bCs/>
                <w:color w:val="FF0000"/>
                <w:kern w:val="0"/>
                <w:szCs w:val="21"/>
              </w:rPr>
              <w:t>3、▲输入输出接口支持HDMI、HDBaseT、DVI、SDI、VGA、DP、光等格式，可根据需求灵活搭配输入输出接口；矩阵主机采用1+1冗余电源热备设计，冗余电源双备热备；电源切换时间≤20ms；电压抖动≤15V；提供20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4、支持EDID管理，允许读取输出设备EDID或储存的EDID并应用到任意输入卡上，支持EDID上传、下载、备份；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5、所有卡槽通道支持独立电源管理，可将板卡单独供/断电，可手动和自动管理，节能环保延长板卡使用寿命；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6、矩阵主机支持≥5寸触摸屏，WEB主界面显示设备实时运行温度，实时显示当前设备输入输出及工作状态；</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7、内置音频矩阵功能，支持音频自由切换和音频加解嵌功能；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返看显示器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1、尺寸≥65寸；</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2、分辨率≥3840*2160；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3、刷新率≥60Hz；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二、音频及扩声系统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b/>
                <w:bCs/>
                <w:color w:val="000000"/>
                <w:szCs w:val="21"/>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1372"/>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数字红外无线教学扩声系统主机</w:t>
            </w:r>
          </w:p>
        </w:tc>
        <w:tc>
          <w:tcPr>
            <w:tcW w:w="3934"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1、主机频响范围：优于110 Hz--20kHz，麦克风频响范围：100 Hz--20kHz；</w:t>
            </w:r>
          </w:p>
          <w:p>
            <w:pPr>
              <w:jc w:val="left"/>
              <w:textAlignment w:val="center"/>
              <w:rPr>
                <w:rFonts w:ascii="宋体" w:hAnsi="宋体" w:cs="宋体"/>
                <w:color w:val="000000"/>
                <w:szCs w:val="21"/>
              </w:rPr>
            </w:pPr>
            <w:r>
              <w:rPr>
                <w:rFonts w:ascii="宋体" w:hAnsi="宋体" w:cs="宋体" w:hint="eastAsia"/>
                <w:color w:val="000000"/>
                <w:kern w:val="0"/>
                <w:szCs w:val="21"/>
              </w:rPr>
              <w:t>注：若参数要求范围：优于110 Hz--20kHz。其中优于指超出110Hz～20KHz（低于110Hz的、高于20KHz的视为正偏离）的频带更宽，为正偏离。</w:t>
            </w:r>
          </w:p>
        </w:tc>
        <w:tc>
          <w:tcPr>
            <w:tcW w:w="1054"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2、信噪比：≥90 dBA；总谐波失真：≤0.05%；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3、具有≥2个RJ45接口用于接数字红外接收器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4、▲支持2只无线麦克风同时讲话；</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5、具有线路声音自动衰减功能设置，即麦克风有声音触发时，背景声音降低。；</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6、通过USB连接PC，支持数字音频输入输出，配合数字红外无线麦克风可实现PPT翻页功能；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7、支持话筒灵敏度、线路输入音量、高低音及智能校准等调节功能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8、内置高性能数字信号处理器（DSP），可对音频进行反馈抑制（AFC）和回声消除（AEC）</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9、线路输入（LINE IN）≥2路，线路输出（LINE OUT）≥2路；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10、LINE IN1可作为麦克风输入，并可提供幻象电源；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11、RS-232串口≥1路。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12、不少于2路USB接口，1路USB口用于连接有线麦克风，另1路通过USB线连接到电脑实现无损音频传输或配合数字红外无线麦克风实现PPT翻页功能。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13、需具有音乐或语音选择模式、童锁设置及语言设置等功能。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数字红外接收器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1、dirATC数字红外音频传输及控制技术；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2、不受高频驱动光源干扰，可正常工作于阳光下的环境；</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3、可配2个数字红外无线麦克风；</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4、接收距离：≥25 m；覆盖面积：≥80-100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数字红外无线麦克风</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1、红外麦克风在不同教室之间使用，无需对频，即开即用，简单方便；</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2、不受高频驱动光源干扰，可正常工作于阳光下的环境；</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3、扩展性能强，支持外部音频输入（Ø 3.5 mm AUDIO IN），能够与其它音频设备（如MP3、手机等）组合。同时可支持外置3.5mm领夹麦输入；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4、支持多种使用方式：可手持、颈挂或置于上衣口袋；</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5、发射角度：垂直≥0°～90°，水平≥120°；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6、内置可充电锂电池，持续发言时间≥7小时；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7、需支持USB口充电（兼容手机充电器）或插入充电座充电；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8、为了满足互动教学，无线麦克风需支持按住发言功能，即按键开启话筒，松开话筒即关闭；</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w:t>
            </w:r>
            <w:r>
              <w:rPr>
                <w:rFonts w:ascii="宋体" w:hAnsi="宋体" w:cs="宋体" w:hint="eastAsia"/>
                <w:kern w:val="0"/>
                <w:szCs w:val="21"/>
              </w:rPr>
              <w:t>★</w:t>
            </w:r>
            <w:r>
              <w:rPr>
                <w:rFonts w:ascii="宋体" w:hAnsi="宋体" w:cs="宋体" w:hint="eastAsia"/>
                <w:color w:val="000000"/>
                <w:kern w:val="0"/>
                <w:szCs w:val="21"/>
              </w:rPr>
              <w:t>红外波长：≥870nm；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10、麦克风类型：驻极体心形指向性；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11、频率响应：优于110Hz～20kHz；</w:t>
            </w:r>
          </w:p>
          <w:p>
            <w:pPr>
              <w:jc w:val="left"/>
              <w:textAlignment w:val="center"/>
              <w:rPr>
                <w:rFonts w:ascii="宋体" w:hAnsi="宋体" w:cs="宋体"/>
                <w:color w:val="000000"/>
                <w:szCs w:val="21"/>
              </w:rPr>
            </w:pPr>
            <w:r>
              <w:rPr>
                <w:rFonts w:ascii="宋体" w:hAnsi="宋体" w:cs="宋体" w:hint="eastAsia"/>
                <w:color w:val="000000"/>
                <w:kern w:val="0"/>
                <w:szCs w:val="21"/>
              </w:rPr>
              <w:t>注：若参数要求范围：优于110 Hz--20kHz。其中优于指超出110Hz～20KHz（低于110Hz的、高于20KHz的视为正偏离）的频带更宽，为正偏离。</w:t>
            </w:r>
          </w:p>
        </w:tc>
        <w:tc>
          <w:tcPr>
            <w:tcW w:w="1054"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12、信噪比：≥90 dBA；</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13、最大声压级：≥110 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全向麦克风</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1、内置全向性驻极体麦克风，拾取学生互动声音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2、声压级：≥125 dB（THD&lt;3%）</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3、频率响应：优于50 Hz-20kHz；</w:t>
            </w:r>
          </w:p>
          <w:p>
            <w:pPr>
              <w:widowControl/>
              <w:jc w:val="left"/>
              <w:textAlignment w:val="center"/>
              <w:rPr>
                <w:rFonts w:ascii="宋体" w:hAnsi="宋体" w:cs="宋体"/>
                <w:color w:val="000000"/>
                <w:szCs w:val="21"/>
              </w:rPr>
            </w:pPr>
            <w:r>
              <w:rPr>
                <w:rFonts w:ascii="宋体" w:hAnsi="宋体" w:cs="宋体" w:hint="eastAsia"/>
                <w:color w:val="000000"/>
                <w:kern w:val="0"/>
                <w:szCs w:val="21"/>
              </w:rPr>
              <w:t>注：若参数要求范围：优于50 Hz--20kHz。其中优于指超出50Hz～20KHz（低于50Hz的、高于20KHz的视为正偏离）的频带更宽，为正偏离。</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4、信噪比：≥65 dBA</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5、总谐波失真：≤0.5%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6、拾音范围：半径不小于 5 m（中等环境噪声下）；半径不小于 8 m（安静环境下）</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有线麦克风</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1、可拆卸话筒杆，话筒杆长度可选；</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2、内置不少于2个无线麦克风充电位，可对无线麦克风进行充电；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3、带1根音频线（USB接口）用于连接主机传输音频；</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4、具有1个USB接口，可使用适配器为充电座供电；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5、麦克风类型：心型指向性驻极体；</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6、频率响应范围：优于85Hz - 20 kHz；</w:t>
            </w:r>
          </w:p>
          <w:p>
            <w:pPr>
              <w:widowControl/>
              <w:jc w:val="left"/>
              <w:textAlignment w:val="center"/>
              <w:rPr>
                <w:rFonts w:ascii="宋体" w:hAnsi="宋体" w:cs="宋体"/>
                <w:color w:val="000000"/>
                <w:szCs w:val="21"/>
              </w:rPr>
            </w:pPr>
            <w:r>
              <w:rPr>
                <w:rFonts w:ascii="宋体" w:hAnsi="宋体" w:cs="宋体" w:hint="eastAsia"/>
                <w:color w:val="000000"/>
                <w:kern w:val="0"/>
                <w:szCs w:val="21"/>
              </w:rPr>
              <w:t>注：若参数要求范围：优于85 Hz--20kHz。其中优于指超出85Hz～20KHz（低于85Hz的、高于20KHz的视为正偏离）的频带更宽，为正偏离。</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7、最大声压级：≥110 dB (THD&lt;3%)；</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765"/>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20</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一进四出网口分路器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1、具有不少于1路输入、4路输出RJ45接口，用于扩展数字红外接收器数量。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数字音频功率放大器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1、▲输入接口：≥8路，凤凰平衡输入接口，支持话筒或线路输入，支持幻象供电；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2、▲输出接口：≥8路，凤凰平衡输出接口；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3、功放功率输出：≥200W*2通道；输出阻抗：8Ω；</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4、前面板配置有音量调节功能和音频信号指示灯；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5、Ethernet 网络控制接口，支持电脑或者平板控制，支持第三方控制，支持RS-232、485及TCP/IP协议；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6、输入通道DSP：所有通道都带前级话放、噪声门、反馈抑制器、高/低通滤波器、不少于16段参量均衡、压限器和延时器；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7、输出通道DSP：所有通道都带高/低通滤波器、不少于16段参量均衡、压限器和延时器；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8、内置机架式调音台，内置自动混音台，可设置衰减电平值，内置AEC回声消除器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9、场景预设：≥32个；</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10、权限密码：可设置权限、密码设置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11、频率响应： 优于20 Hz - 20 kHz(±1 dB)</w:t>
            </w:r>
          </w:p>
          <w:p>
            <w:pPr>
              <w:jc w:val="left"/>
              <w:textAlignment w:val="center"/>
              <w:rPr>
                <w:rFonts w:ascii="宋体" w:hAnsi="宋体" w:cs="宋体"/>
                <w:color w:val="000000"/>
                <w:szCs w:val="21"/>
              </w:rPr>
            </w:pPr>
            <w:r>
              <w:rPr>
                <w:rFonts w:ascii="宋体" w:hAnsi="宋体" w:cs="宋体" w:hint="eastAsia"/>
                <w:color w:val="000000"/>
                <w:kern w:val="0"/>
                <w:szCs w:val="21"/>
              </w:rPr>
              <w:t xml:space="preserve">注：若参数要求范围：优于20 Hz--20kHz。其中优于指超出20Hz～20KHz（低于20Hz的、高于20KHz的视为正偏离）的频带更宽，为正偏离。 </w:t>
            </w:r>
          </w:p>
        </w:tc>
        <w:tc>
          <w:tcPr>
            <w:tcW w:w="1054"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12、总谐波失真(THD)： ＜0.005%（20 Hz‐20 kHz@ +4 dBu）</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13、动态范围： ≥112 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14、信道间串扰：≥50 dB/（20‐20 kHz）；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15、输入阻抗：＞10kΩ</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16、共模抑制比：＞70 dB@1 kHz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17、前置放大等效输入噪声（EIN）：＜‐123dBu；</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18、功放通道分离度：＞73dB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1099"/>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19、功放频率响应：优于20 Hz - 20 kHz(±0.5dB)</w:t>
            </w:r>
          </w:p>
          <w:p>
            <w:pPr>
              <w:jc w:val="left"/>
              <w:textAlignment w:val="center"/>
              <w:rPr>
                <w:rFonts w:ascii="宋体" w:hAnsi="宋体" w:cs="宋体"/>
                <w:color w:val="000000"/>
                <w:szCs w:val="21"/>
              </w:rPr>
            </w:pPr>
            <w:r>
              <w:rPr>
                <w:rFonts w:ascii="宋体" w:hAnsi="宋体" w:cs="宋体" w:hint="eastAsia"/>
                <w:color w:val="000000"/>
                <w:kern w:val="0"/>
                <w:szCs w:val="21"/>
              </w:rPr>
              <w:t xml:space="preserve">注：若参数要求范围：优于20 Hz--20kHz。其中优于指超出20Hz～20KHz（低于20Hz的、高于20KHz的视为正偏离）的频带更宽，为正偏离。 </w:t>
            </w:r>
          </w:p>
        </w:tc>
        <w:tc>
          <w:tcPr>
            <w:tcW w:w="1054"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20、功放总谐波失真：≤0.7%</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扬声器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1、类型：线性阵列音柱，内置不少于4个≥3英寸喇叭单元；</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392"/>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2、频率范围：优于70Hz - 20 KHz（-10 dB）；</w:t>
            </w:r>
          </w:p>
          <w:p>
            <w:pPr>
              <w:jc w:val="left"/>
              <w:textAlignment w:val="center"/>
            </w:pPr>
            <w:r>
              <w:rPr>
                <w:rFonts w:ascii="宋体" w:hAnsi="宋体" w:cs="宋体" w:hint="eastAsia"/>
                <w:color w:val="000000"/>
                <w:kern w:val="0"/>
                <w:szCs w:val="21"/>
              </w:rPr>
              <w:t>注：若参数要求范围：优于70 Hz--20kHz。其中优于指超出70Hz～20KHz（低于70Hz的、高于20KHz的视为正偏离）的频带更宽，为正偏离。</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kern w:val="0"/>
                <w:szCs w:val="21"/>
              </w:rPr>
            </w:pPr>
            <w:r>
              <w:rPr>
                <w:rFonts w:ascii="宋体" w:hAnsi="宋体" w:cs="宋体" w:hint="eastAsia"/>
                <w:color w:val="000000"/>
                <w:kern w:val="0"/>
                <w:szCs w:val="21"/>
              </w:rPr>
              <w:t>3、频率响应：优于75 Hz - 20 kHz (±3 dB)；</w:t>
            </w:r>
          </w:p>
          <w:p>
            <w:pPr>
              <w:jc w:val="left"/>
              <w:textAlignment w:val="center"/>
            </w:pPr>
            <w:r>
              <w:rPr>
                <w:rFonts w:ascii="宋体" w:hAnsi="宋体" w:cs="宋体" w:hint="eastAsia"/>
                <w:color w:val="000000"/>
                <w:kern w:val="0"/>
                <w:szCs w:val="21"/>
              </w:rPr>
              <w:t>注：若参数要求范围：优于75 Hz--20kHz。其中优于指超出75Hz～20KHz（低于75Hz的、高于20KHz的视为正偏离）的频带更宽，为正偏离。</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4、灵敏度：≥ (1w @ 1m):85dB；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5、额定阻抗：≥8 Ohms；</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6、最大声压级：≥105 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7、额定功率：60-80W；</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8、覆盖角度（H x V)：≥115°x 85°；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9、颜色： 白(W)；</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10、含安装支架；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三、常态化录播系统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常态化录播主机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1、采用嵌入式硬件设计，内置Linux操作系统，支持7*24小时工作；不接受PC架构以及服务器设计方式；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2、支持不小于4路高清3G-SDI、支持不小于2路HDMI输入接口；不小于2路HDMI接口视频输出；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3、支持不少于2路HDMI输入接口同时接入，能够实现两路HDMI信号采集，并支持老师教学过程中大屏操作的全自动跟踪切换；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4、主机含≥6口交换机，其中支持不少于4口POE供电，满足老师特写、讲台全景、学生特写、学生全景信号接入需求；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5、主机音频接口不少于1路莲花（RCA）MIC IN、1路凤凰端子MIC IN、1路凤凰LINE IN，不少于1路凤凰端子输出、1路双莲花LINE OUT；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6、录播主机支持本地导播功能，接上鼠标、标准键盘与显示器就可实现无延时本地导播，可以扩展硬件导播台；</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7、录播主机支持不小于2路USB接口；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8、主机包含Reset按键，可以实现出厂设置恢复，能够实时初始化系统状态；</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9、主机前面板配置液晶屏，支持显示主机版本、IP地址等信息，实时清晰管理设备操控；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10、控制接口不小于4路，可用于控制摄像机云台与控制面板等设备；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11、▲系统内置跟踪功能，无需额外配置跟踪主机即可实现智能图像识别跟踪分析与处理功能，跟踪对象不需要佩戴任何辅助装置，便可对老师和学生的动作、移动进行准确定位、跟踪，清楚的记录整个教学活动；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12、系统内置不小于2T存储空间，支持双硬盘接入，最大支持不少于16T硬盘存储空间，录制文件既可存储在本地硬盘，可以上传到云资源管理平台或第三方FTP服务器；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13、支持H.323、SIP协议，能够对接第三方视频会议终端，实现互动场景录制；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14、支持微信直播功能，支持利用windows平台B/S架构和移动客户端Android平台APP、IOS平台APP微信端现场直播功能；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82"/>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15、▲为保证设备稳定运行，要求提供设备运行无故障运行MTBF不小于9个自然日；提供20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16、系统音视频相对延迟≤40ms；</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录播管理软件</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1、录播主机系统软件须出厂即安装于录播主机内，支持网络导播与本地导播两种导播方式；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2、系统应支持版本信息、序列号、设备型号、硬盘空间、剩余硬盘空间、跟踪机位信息、网络连接、平台接入信息等显示；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3、支持远程登录管理系统，可设置用户密码、视频输入、视频输出、互动、推流方式及模式、VGA图像微调等功能；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4、支持视频文件上传、下载、异常修复、本地点播、删除等基本功能，支持通过状态标记自动检测课件上传是否成功，对于状态标记上传失败的课件资源支持人工手动续传；</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5、支持插入外接移动存储设备一键拷贝下载功能，并可选择多路外接移动设备；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6、采用RTMP/RTSP/HTTP流媒体直播推送技术，支持基于Flash技术和HTML5技术的直播和点播方式，免安装插件即可接收和观看直播和点播；</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7、支持高低码流直播，并可以单独控制每一路直播的启用与停止；支持音频管理，可以进行回声消除、噪声消除、延时器、音量等设置；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8、支持输入接口管理，显示当前接口信息与连接状态；</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9、支持与资源平台无缝对接，实现视频自动上传功能，可以兼容多种资源管理平台与第三方FTP服务器；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10、系统可以设置多种教室类型，支持常规教室、互动录播教室与第三方互动录播教室三种模式；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11、录播系统内置互动功能，支持标准H.323和SIP协议，支持与标准视频会议系统对接实现互动教学；</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12、支持录播主机与录播主机之间互动，录播主机与视频会议终端之间互动、录播主机与MCU之间互动等3种互动场景；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13、支持一键式连接远程录播教室进行互动教学，支持互动教室数据的批量导入和导出功能；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14、录播系统互动要求支持主讲教室与听讲教室两种角色自由切换；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行为识别软件</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1、支持教室讲台、学生区域侦测区绘制，实现录播主机全自动跟踪切换；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2、系统支持对教学活动中老师、学生的自动跟踪拍摄和切换；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3、系统支持多个屏蔽区设置，可屏蔽观摩室和教室之间的玻璃墙，避免因玻璃墙反射而造成学生特写画面捕捉不到的问题，同时支持屏蔽教室后方因听课教师意外站立或走动而导致的错误特写画面；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录播摄像头</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b/>
                <w:bCs/>
                <w:color w:val="FF0000"/>
                <w:kern w:val="0"/>
                <w:szCs w:val="21"/>
              </w:rPr>
              <w:t>1、▲采用不低于1/2.8 英寸CMOS, 有效像素≥200 万；提供20</w:t>
            </w:r>
            <w:r>
              <w:rPr>
                <w:rFonts w:ascii="宋体" w:hAnsi="宋体" w:cs="宋体" w:hint="eastAsia"/>
                <w:b/>
                <w:bCs/>
                <w:color w:val="FF0000"/>
                <w:kern w:val="0"/>
                <w:szCs w:val="21"/>
                <w:lang w:val="en-US" w:eastAsia="zh-CN"/>
              </w:rPr>
              <w:t>20</w:t>
            </w:r>
            <w:r>
              <w:rPr>
                <w:rFonts w:ascii="宋体" w:hAnsi="宋体" w:cs="宋体" w:hint="eastAsia"/>
                <w:b/>
                <w:bCs/>
                <w:color w:val="FF0000"/>
                <w:kern w:val="0"/>
                <w:szCs w:val="21"/>
              </w:rPr>
              <w:t>年</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月</w:t>
            </w:r>
            <w:r>
              <w:rPr>
                <w:rFonts w:ascii="宋体" w:hAnsi="宋体" w:cs="宋体" w:hint="eastAsia"/>
                <w:b/>
                <w:bCs/>
                <w:color w:val="FF0000"/>
                <w:kern w:val="0"/>
                <w:szCs w:val="21"/>
                <w:lang w:val="en-US" w:eastAsia="zh-CN"/>
              </w:rPr>
              <w:t>1</w:t>
            </w:r>
            <w:r>
              <w:rPr>
                <w:rFonts w:ascii="宋体" w:hAnsi="宋体" w:cs="宋体" w:hint="eastAsia"/>
                <w:b/>
                <w:bCs/>
                <w:color w:val="FF0000"/>
                <w:kern w:val="0"/>
                <w:szCs w:val="21"/>
              </w:rPr>
              <w:t>日至本项目投标截止日第三方检验检测机构出具的检验（检测）报告扫描件，原件备查。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b/>
                <w:bCs/>
                <w:color w:val="FF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 1080p/60, 1080p/50, 1080i/60,1080i/50, 1080p/30, 1080p/25, 720p/60,720p/50；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3、镜头焦距：≥ 12X光学变焦, f3.5mm ~ 42.3mm, F1.8 ~ F2.8；</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4、数字变焦：≥16X；</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5、最低照度：≤0.5 Lux @ (F1.8, AGC ON)；</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6、快门速度：≤1/30s ~ 1/10000s；</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7、支持白平衡自动，室内，室外，一键，手动，指定色温；</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8、支持背光补偿，支持2D&amp;3D 数字降噪；</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9、信噪比：≥ 55dB；</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10、水平视场角≥ 70° ~ 8°、垂直视场角≥ 40° ~ 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11、支持扩展预置位数量：≥255；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12、输出接口：≥1 路 HDMI，≥1 路3G-SDI；</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13、网络接口：≥1 路RJ45: 10M / 100M 自适应以太网口；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14、音频接口：≥ 1 路Line In、 ≥3.5mm 音频接口、≥1 路、≥1路USB 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15、控制接口：≥1路RS232输入接口、≥1路RS232输出接口、≥1路RS485接口；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16、设备支持长时间运行，平均无故障运行时间（MTBF）≥250,000小时；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17、与录播主机为同一品牌；</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四、中央控制系统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中控主机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1、内置WEBSERVER，支持浏览器B/S模式控制；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2、支持模块及COMPILER+语言编程方式，使系统更加智能、方便、稳定；</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3、支持TCP/IP控制模式，UDP控制协议；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4、支持温湿度，亮度，PM2.5，光照度等物联网传感器接入；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5、支持≥6路独立可编程RS-232，≥2路RS-485控制接口，用户可编程设置多种控制协议和代码；</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6、支持≥4路独立可编程的红外发射接口 , 支持红外转串口 , 支持控制多台红外设备及串口设备；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7、支持≥4路继电器,≥2路I/O接口；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8、支持≥4路RJ4510M/100M/1000M以太网接口；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9、支持通过PC浏览器访问中控主机Web界面快速调用和设置投影机、触摸一体机、灯光、空调、电脑等设备的控制指令、执行指令的时间与周期等，并自动同步到触控屏；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10、支持通过移动端 IOS/Android App 控制设备；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11、设备可实现对灯光、空调等设备的集中控制管理、统一开关、远程控制，设置计划任务，对空调进行温区控制、电源控制，支持不同教学场景的环境照明，模式化管理。</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12、▲支持Zigbee无线物联协议，内置物联模块与天线，可与调光器等物联设备进行无线通讯；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13、支持对接学校课表系统，触摸平板实时显示课表信息并根据课表信息自动执行上课/下课等模式；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触控屏</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1、尺寸：≥7寸液晶屏，屏幕显示分辨率≥1280*800；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2、触摸点数≥10点；</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3、内置处理器频率≥1.8GHZ；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4、RJ45接口≥1路、USB2.0接口≥1路、3.5mm音频接口≥1路、HDMI接口≥1路；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5、与中控主机同一品牌。</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29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中控编程</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 支持安卓/苹果系统；支持IP局域网络语音呼叫对讲；</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 可定制化开发兼容WINDOWS系统；</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 支持密码验证进入控制界面；</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强电继电器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1、支持≥8路电源时序控制，提供≥8个插座输出，紫铜铜片，万能插座适合各种插头；</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2、支持2台机器级联（通过232口，使用九针双公交叉线），并可无限扩展第二台；</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3、支持标准RS232串口控制功能，可设置255个ID地址，最大可支持255台同时使用，适合于大规模集中控制；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4、具有外部电平(5V-24V)控制接口；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5、支持数码LED电压指示，具备超压和欠压警示功能，当电压高于245V或者低于195V是闪亮警示；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6、具备面板直通插座，支持电流≥10A，方便临时取电；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7、预留20A净化模组安装空间，支持净化功能。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16口千兆交换机</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1、传输速率：10/100/1000Mbps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2、交换方式：存储-转发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3、背板带宽：32Gbps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4、包转发率：24Mpps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5、端口描述：16个10/100/1000Base-T以太网端口；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6、网络标准：IEEE 802.3 10BASE-T、IEEE 802.3u 100BASE-TX、IEEE 802.3ab 1000BASE-T、ANSI/IEEE 802.3 Nway、IEEE 802.3x、IEEE 802.3af、IEEE 802.3at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7、POE供电：16个网口支持POE供电。</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五、感知与管理系统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调光器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1、工作电压:220V AC 50/60Hz，待机功耗:≤0.5W；</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2、无线工作频率：868.42MHz/915MHz/2.4GHz；</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3、支持有线串口通讯；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4、支持Zigbee无线物联协议;无线传输距离:≤30m(室内)，≤100m(室外)；</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5、最大负载功率:单路阻性负载3A,容性感性负载1A；</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6、适应暗盒尺寸：标准86底盒；</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7、具备灯光的开关控制及亮度调节按钮。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30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六合一传感器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1、支持同时检测甲醛、PM2.5、CO</w:t>
            </w:r>
            <w:r>
              <w:rPr>
                <w:rFonts w:ascii="宋体" w:hAnsi="宋体" w:cs="宋体" w:hint="eastAsia"/>
                <w:color w:val="000000"/>
                <w:kern w:val="0"/>
                <w:szCs w:val="21"/>
                <w:vertAlign w:val="subscript"/>
              </w:rPr>
              <w:t>2</w:t>
            </w:r>
            <w:r>
              <w:rPr>
                <w:rFonts w:ascii="宋体" w:hAnsi="宋体" w:cs="宋体" w:hint="eastAsia"/>
                <w:color w:val="000000"/>
                <w:kern w:val="0"/>
                <w:szCs w:val="21"/>
              </w:rPr>
              <w:t>、温度、湿度6种环境数据，具备以太网通讯接口；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2、甲醛测量范围：≥0---75ppm，分辨率：0.01mg/m³；</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3、PM2.5测量范围：≥0---999μg/m³，测量精度：±15%；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30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4、CO</w:t>
            </w:r>
            <w:r>
              <w:rPr>
                <w:rFonts w:ascii="宋体" w:hAnsi="宋体" w:cs="宋体" w:hint="eastAsia"/>
                <w:color w:val="000000"/>
                <w:kern w:val="0"/>
                <w:szCs w:val="21"/>
                <w:vertAlign w:val="subscript"/>
              </w:rPr>
              <w:t>2</w:t>
            </w:r>
            <w:r>
              <w:rPr>
                <w:rFonts w:ascii="宋体" w:hAnsi="宋体" w:cs="宋体" w:hint="eastAsia"/>
                <w:color w:val="000000"/>
                <w:kern w:val="0"/>
                <w:szCs w:val="21"/>
              </w:rPr>
              <w:t>测量范围：≥400---5000ppm，测量精度：±40ppm；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5、温度测量范围：≥-40℃--- +125℃，测量精度：±0.3℃；</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6、湿度传感器测量范围：≥0---100%RH，测量精度：±0.3RH。</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RFID标签</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1、标签通讯方式：2.4G ，主动发送信号；</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2、电池：纽扣；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3、电池续航能力：≥5年。</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标签阅读器</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1、通讯方式：支持2.4G，RJ45通讯；</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2、读取性能：读取半径≥50米，速率100张/秒，容量≥1000张。</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六、教室监控</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36</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监控摄像头</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1、★分辨率：≥2560*1440；</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2、芯片：不低于1/3" Progressive Scan CMOS；</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3、最低照度：≥0.005 Lux @（F1.2，AGC ON）（彩色），0 Lux with IR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4、红外波长： 850 nm；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5、调节角度：水平:≥0° ~  335°，垂直:≥0° ~ 75°；旋转:≥0° ~  335°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6、网络接口：1个RJ4510M/100M自适应以太网口；</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7、供电方式：POE</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8、音频： 1个内置麦克风，1路输入（Line in），1路输出（Line out）。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七、远程呼叫系统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37</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IP网络对讲终端</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1、网络通讯协议 TCP/IP、UDP、ARP、ICMP、IGMP、SIP、HTTP、FTP、ONVIF；</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2、音频采样、位率要求 22.05KHz 16bit；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3、接口应不少于 1×RJ45，1×路报警输入，1×路报警输出，1×路线路/录音输出，1×路线路输入，1×路级联接口（连接报警控制模块）；</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4、应支持各种特殊应用环境，支持嵌入墙壁或外装；</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5、采用一键求助按键设置；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6、内置不低于3W扬声器和话筒眯头，接收广播和免提通话；应内置大容量FLASH存储器；应内置数字音频处理器，提升降噪效果、提高受话距离和音频音质；带音频输出口，可外接有源音箱或耳机；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7、支持防拆报警功能，有人为非法强拆时，可自动向管理软件发出报警；</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8、终端应支持不少于1路报警输出, 可控制警灯或门锁；应支持不少于1路报警输入，可外接报警按钮或探头；</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9、IP网络可视对讲终端支持ONVIF协议，可接入符合标准ONVIF协议的NVR等存储设备；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10、标准RJ45接口，有以太网口的地方即可接入，跨网段和跨路由。</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34"/>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11、需接入用户现有系统</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八、信息发布系统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38</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智慧班牌</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1、基本配置：基于智慧班牌终端深度定制安卓系统，采用CPU 主频≥1.8GHz，内存≥2GB，内置FLASH闪存≥8GB，安卓5.1平台；</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2、主板：多媒体专用高清网络解码芯片；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3、显示屏分辨率：≥1920*1080 ；</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4、尺寸：≥21.5英寸；</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5、集控系统：终端支持远程后台设置自动开关机；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6、可显示教室当周课程，当前课程可高亮，突出显示，可查看教室本周、本学期的全部课程，标明周次、体现场地名称、课程名称等；</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7、外观：窄边框圆角设计；</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8、采用壁挂式、终端自带安装挂板；</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9、内置720p高清摄像头、内置音响；</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10、触摸：≥10点电容式触摸屏。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11、需与用户现有信息发布系统管理平台兼容。</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九、电子时钟系统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39</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网络同步电子时钟</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1、自身精度：±0.05s/d；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2、LED发光强度≥1000mcd；</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3、功率：≤30W；</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4、采用标准POE/NTP；</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5、尺寸：530*160*45mm；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6、需接入用户现有系统</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十、打铃系统</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40</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IP网络音箱</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1、内置2x20W数字功率放大器；</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2、1路线路（AUX）输入接口，具有独立的音量电位器控制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3、内置模拟音频信号备份模块，支持定压100V信号输入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4、兼容路由器、交换机、网桥网关、Modem、Internet、2G、3G、4G等任意网络结构</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5、嵌入式计算机技术和DSP音频处理技术设计；</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6、一体化壁挂式音箱设计</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7、内置1路网络硬件音频解码模块，支持TCP/IP、UDP协议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8、需接入用户现有广播打铃系统</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十一、周边</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41</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互联黑板（一）</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1、黑板尺寸：1420mm（L）×820mm（H），可根据现场实际情况调整；整体框架尺寸：现场实际情况定制（红外感应黑板+100或120寸交互式触控投影屏幕）（100或120寸交互式触控投影屏幕镶嵌在整体框架中）；</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2、红外感应书写板数量：2块；</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3、板面材质：颜色为墨绿色，面板厚度≥0.3mm，硬度≥6H；</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4、结构：采用双轨道双板设计，两块互动升降；采用滑轮钢丝绳传动；书写板可选择任意位置停留，书写时不晃动，推拉运行灵活，不卡槽；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5、触控技术：红外触控；比例设置：支持16:9/4:3或自定义模式；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6、快捷键：双侧板面提供上下居中的快捷键，可以进行书写内容预览、板书上下页翻页、红、白、黄三色笔迹选择、扫码分享、投票、一键清屏等快捷按键；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7、记录方式：在黑板书写任意内容时，显示设备可以同时进行交互式操作，在书写完毕后通过一键预览可以实现显示端显示，也可以通过预览直接调出记录内容实现板书和显示同步；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8、记录模式：软件可以设置两种板书记录模式，模式一：支持一块黑板记录一页页面，模式二：支持黑板书写时同时在显示端显示；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5、笔迹选择：通过点击快捷键红、白、黄可以选择书写笔迹颜色；</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6、板书保存：黑板板书内容可以本地保存为图片、PDF等格式，也可以采用移动设备扫描二维码获取；</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7、外框：采用高档磨砂白色铝型材：左、右升降导轨整体成型；下轨道与去尘槽一体化设计，去尘槽设计防刮包角，并与去尘槽平齐；与交互式触控投影屏幕镶嵌为一个整体；</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42</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互联黑板（二）</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1、红外感应书写板尺寸：2000mm（L）×1280mm（H），可根据现场实际情况调整；整体框架尺寸：现场实际情况定制</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2、红外感应书写板数量：2块；</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3、板面材质：颜色为墨绿色，面板厚度≥0.3mm，硬度≥6H；</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4、结构：采用双轨道双板设计，两块互动升降；采用滑轮钢丝绳传动；书写板可选择任意位置停留，书写时不晃动，推拉运行灵活，不卡槽；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5、触控技术：红外触控；比例设置：支持16:9/4:3或自定义模式；</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6、快捷键：双侧板面提供上下居中的快捷键，可以进行书写内容预览、板书上下页翻页、红、白、黄三色笔迹选择、扫码分享、投票、一键清屏等快捷按键；</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7、记录方式：在黑板书写任意内容时，显示设备可以同时进行交互式操作，在书写完毕后通过一键预览可以实现显示端显示，也可以通过预览直接调出记录内容实现板书和显示同步；</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8、记录模式：软件可以设置两种板书记录模式，模式一：支持一块黑板记录一页页面，模式二：支持黑板书写时同时在显示端显示；</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9、笔迹选择：通过点击快捷键红、白、黄可以选择书写笔迹颜色；</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10、板书保存：黑板板书内容可以本地保存为图片、PDF等格式，也可以采用移动设备扫描二维码获取；</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11、普通黑板书写板数量：4块；</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12、普通黑板板面材质：颜色为墨绿色，面板厚度≥0.3mm，硬度≥6H；</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13、结构：采用双轨道双板设计，两块互动升降；采用滑轮钢丝绳传动；书写板可选择任意位置停留，书写时不晃动，推拉运行灵活，不卡槽；</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14、书写板边框：上、左、右三方采用规格33.6*25mm高档磨砂白色铝型材；下边书写板边框与拉手整体成型的高档白色铝型材，规格43*33.6mm；</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51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15、外框：采用高档磨砂白色铝型材：左、右升降导轨整体成型，规格114*70mm；上梁114*70mm；下梁114*45mm。下轨道与去尘槽一体化设计，去尘槽设计防刮包角，并与去尘槽平齐。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16、整体由1组红外感应书写板和2组普通黑板书写板组成为一个整体；</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43</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讲台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1、结构：木制钢制混合结构；</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2、外观：按使用方要求定制，喷印校方LOGO；</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3、电源接口： AC220V三孔插座</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4、信息接口：不少于2路USB接口、1路HDMI、1路3.5音频接口、1路RJ45；</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5、左侧具有放置笔记本电脑的伸缩板，右侧具有伸缩抽屉。</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8156"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hint="eastAsia"/>
                <w:b/>
                <w:bCs/>
                <w:color w:val="000000"/>
                <w:kern w:val="0"/>
                <w:szCs w:val="21"/>
              </w:rPr>
            </w:pPr>
            <w:r>
              <w:rPr>
                <w:rFonts w:ascii="宋体" w:hAnsi="宋体" w:cs="宋体" w:hint="eastAsia"/>
                <w:b/>
                <w:bCs/>
                <w:color w:val="000000"/>
                <w:kern w:val="0"/>
                <w:szCs w:val="21"/>
              </w:rPr>
              <w:t>十二、辅材及其它</w:t>
            </w:r>
          </w:p>
        </w:tc>
      </w:tr>
      <w:tr>
        <w:tblPrEx>
          <w:tblW w:w="8156" w:type="dxa"/>
          <w:tblInd w:w="93" w:type="dxa"/>
          <w:tblLayout w:type="fixed"/>
          <w:tblCellMar>
            <w:top w:w="0" w:type="dxa"/>
            <w:left w:w="108" w:type="dxa"/>
            <w:bottom w:w="0" w:type="dxa"/>
            <w:right w:w="108" w:type="dxa"/>
          </w:tblCellMar>
        </w:tblPrEx>
        <w:trPr>
          <w:trHeight w:val="270"/>
        </w:trPr>
        <w:tc>
          <w:tcPr>
            <w:tcW w:w="6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1148"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货物名称</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招标技术要求</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hint="eastAsia"/>
                <w:b/>
                <w:bCs/>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44</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管线</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1、包括管线、管线预埋、信号传输电缆和控制线缆等耗材及辅材。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2、包括另外两间教室的埋管布线、设备安装、系统调试，使用方提供设备。</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textAlignment w:val="center"/>
              <w:rPr>
                <w:rFonts w:ascii="宋体" w:hAnsi="宋体" w:cs="宋体"/>
                <w:color w:val="000000"/>
                <w:szCs w:val="21"/>
              </w:rPr>
            </w:pPr>
            <w:r>
              <w:rPr>
                <w:rFonts w:ascii="宋体" w:hAnsi="宋体" w:cs="宋体" w:hint="eastAsia"/>
                <w:color w:val="000000"/>
                <w:kern w:val="0"/>
                <w:szCs w:val="21"/>
              </w:rPr>
              <w:t>45</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auto"/>
          </w:tcPr>
          <w:p>
            <w:pPr>
              <w:widowControl/>
              <w:jc w:val="center"/>
              <w:textAlignment w:val="top"/>
              <w:rPr>
                <w:rFonts w:ascii="宋体" w:hAnsi="宋体" w:cs="宋体"/>
                <w:color w:val="000000"/>
                <w:szCs w:val="21"/>
              </w:rPr>
            </w:pPr>
            <w:r>
              <w:rPr>
                <w:rFonts w:ascii="宋体" w:hAnsi="宋体" w:cs="宋体" w:hint="eastAsia"/>
                <w:color w:val="000000"/>
                <w:kern w:val="0"/>
                <w:szCs w:val="21"/>
              </w:rPr>
              <w:t>系统集成和调试</w:t>
            </w: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1、应择优配置和选型，满足系统集成设备间短距离连接所需各类线材和辅材。</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r>
        <w:tblPrEx>
          <w:tblW w:w="8156" w:type="dxa"/>
          <w:tblInd w:w="93" w:type="dxa"/>
          <w:tblLayout w:type="fixed"/>
          <w:tblCellMar>
            <w:top w:w="0" w:type="dxa"/>
            <w:left w:w="108" w:type="dxa"/>
            <w:bottom w:w="0" w:type="dxa"/>
            <w:right w:w="108" w:type="dxa"/>
          </w:tblCellMar>
        </w:tblPrEx>
        <w:trPr>
          <w:trHeight w:val="270"/>
        </w:trPr>
        <w:tc>
          <w:tcPr>
            <w:tcW w:w="63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hAnsi="宋体" w:cs="宋体"/>
                <w:color w:val="000000"/>
                <w:szCs w:val="21"/>
              </w:rPr>
            </w:pPr>
          </w:p>
        </w:tc>
        <w:tc>
          <w:tcPr>
            <w:tcW w:w="1148" w:type="dxa"/>
            <w:vMerge/>
            <w:tcBorders>
              <w:top w:val="single" w:sz="4" w:space="0" w:color="000000"/>
              <w:left w:val="single" w:sz="4" w:space="0" w:color="000000"/>
              <w:bottom w:val="single" w:sz="4" w:space="0" w:color="000000"/>
              <w:right w:val="single" w:sz="4" w:space="0" w:color="000000"/>
            </w:tcBorders>
            <w:shd w:val="clear" w:color="auto" w:fill="auto"/>
          </w:tcPr>
          <w:p>
            <w:pPr>
              <w:jc w:val="center"/>
              <w:rPr>
                <w:rFonts w:ascii="宋体" w:hAnsi="宋体" w:cs="宋体"/>
                <w:color w:val="000000"/>
                <w:szCs w:val="21"/>
              </w:rPr>
            </w:pPr>
          </w:p>
        </w:tc>
        <w:tc>
          <w:tcPr>
            <w:tcW w:w="39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color w:val="000000"/>
                <w:szCs w:val="21"/>
              </w:rPr>
            </w:pPr>
            <w:r>
              <w:rPr>
                <w:rFonts w:ascii="宋体" w:hAnsi="宋体" w:cs="宋体" w:hint="eastAsia"/>
                <w:color w:val="000000"/>
                <w:kern w:val="0"/>
                <w:szCs w:val="21"/>
              </w:rPr>
              <w:t>2、所有教室需接入现有的远程控制平台</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c>
          <w:tcPr>
            <w:tcW w:w="582" w:type="dxa"/>
            <w:tcBorders>
              <w:top w:val="single" w:sz="4" w:space="0" w:color="000000"/>
              <w:left w:val="single" w:sz="4" w:space="0" w:color="000000"/>
              <w:bottom w:val="single" w:sz="4" w:space="0" w:color="000000"/>
              <w:right w:val="single" w:sz="4" w:space="0" w:color="000000"/>
            </w:tcBorders>
            <w:shd w:val="clear" w:color="auto" w:fill="auto"/>
            <w:vAlign w:val="center"/>
          </w:tcPr>
          <w:p>
            <w:pPr>
              <w:widowControl/>
              <w:jc w:val="left"/>
              <w:textAlignment w:val="center"/>
              <w:rPr>
                <w:rFonts w:ascii="宋体" w:hAnsi="宋体" w:cs="宋体" w:hint="eastAsia"/>
                <w:color w:val="000000"/>
                <w:kern w:val="0"/>
                <w:szCs w:val="21"/>
              </w:rPr>
            </w:pPr>
          </w:p>
        </w:tc>
      </w:tr>
    </w:tbl>
    <w:p>
      <w:pPr>
        <w:rPr>
          <w:rFonts w:hint="eastAsia"/>
          <w:sz w:val="24"/>
        </w:rPr>
      </w:pPr>
    </w:p>
    <w:p>
      <w:pPr>
        <w:rPr>
          <w:b/>
          <w:sz w:val="24"/>
        </w:rPr>
      </w:pPr>
      <w:r>
        <w:rPr>
          <w:rFonts w:hint="eastAsia"/>
          <w:sz w:val="24"/>
        </w:rPr>
        <w:t>证明资料【如有的话，供应商提供的证明资料应统一编号（排序），格式自定】</w:t>
      </w:r>
      <w:bookmarkEnd w:id="70"/>
      <w:r>
        <w:rPr>
          <w:rFonts w:hint="eastAsia"/>
          <w:sz w:val="24"/>
        </w:rPr>
        <w:t>：</w:t>
      </w:r>
    </w:p>
    <w:p>
      <w:pPr>
        <w:ind w:firstLine="420" w:firstLineChars="200"/>
        <w:rPr>
          <w:b/>
          <w:sz w:val="24"/>
        </w:rPr>
      </w:pPr>
      <w:r>
        <w:rPr>
          <w:rFonts w:hint="eastAsia"/>
          <w:b/>
          <w:sz w:val="24"/>
        </w:rPr>
        <w:t>《技术要求偏离表》编制指引：</w:t>
      </w:r>
    </w:p>
    <w:p>
      <w:pPr>
        <w:ind w:firstLine="420" w:firstLineChars="200"/>
        <w:rPr>
          <w:b/>
          <w:sz w:val="24"/>
        </w:rPr>
      </w:pPr>
      <w:r>
        <w:rPr>
          <w:rFonts w:hint="eastAsia"/>
          <w:b/>
          <w:sz w:val="24"/>
        </w:rPr>
        <w:t>1、技术要求偏离表的序号、货物名称、招标技术要求等栏目</w:t>
      </w:r>
      <w:bookmarkStart w:id="71" w:name="_Hlk72094407"/>
      <w:r>
        <w:rPr>
          <w:rFonts w:hint="eastAsia"/>
          <w:b/>
          <w:sz w:val="24"/>
        </w:rPr>
        <w:t>对应“用户需求书”中的“技术要求”章节</w:t>
      </w:r>
      <w:bookmarkEnd w:id="71"/>
      <w:r>
        <w:rPr>
          <w:rFonts w:hint="eastAsia"/>
          <w:b/>
          <w:sz w:val="24"/>
        </w:rPr>
        <w:t>相关内容。</w:t>
      </w:r>
    </w:p>
    <w:p>
      <w:pPr>
        <w:ind w:firstLine="420" w:firstLineChars="200"/>
        <w:rPr>
          <w:b/>
          <w:sz w:val="24"/>
        </w:rPr>
      </w:pPr>
      <w:r>
        <w:rPr>
          <w:b/>
          <w:sz w:val="24"/>
        </w:rPr>
        <w:t>2</w:t>
      </w:r>
      <w:r>
        <w:rPr>
          <w:rFonts w:hint="eastAsia"/>
          <w:b/>
          <w:sz w:val="24"/>
        </w:rPr>
        <w:t>、“投标技术响应”一栏必须一一对照“招标技术要求”，详细填写投标人自身投标货物的具体参数，以体现具体响应情况。</w:t>
      </w:r>
    </w:p>
    <w:p>
      <w:pPr>
        <w:ind w:firstLine="420" w:firstLineChars="200"/>
        <w:rPr>
          <w:b/>
          <w:sz w:val="24"/>
        </w:rPr>
      </w:pPr>
      <w:r>
        <w:rPr>
          <w:b/>
          <w:sz w:val="24"/>
        </w:rPr>
        <w:t>3</w:t>
      </w:r>
      <w:r>
        <w:rPr>
          <w:rFonts w:hint="eastAsia"/>
          <w:b/>
          <w:sz w:val="24"/>
        </w:rPr>
        <w:t>、</w:t>
      </w:r>
      <w:bookmarkStart w:id="72" w:name="_Hlk72158270"/>
      <w:r>
        <w:rPr>
          <w:rFonts w:hint="eastAsia"/>
          <w:b/>
          <w:sz w:val="24"/>
        </w:rPr>
        <w:t>“偏离情况”</w:t>
      </w:r>
      <w:bookmarkEnd w:id="72"/>
      <w:r>
        <w:rPr>
          <w:rFonts w:hint="eastAsia"/>
          <w:b/>
          <w:sz w:val="24"/>
        </w:rPr>
        <w:t>一栏填写如实填写“正偏离”、“负偏离”或“无偏离”，其中：</w:t>
      </w:r>
      <w:bookmarkStart w:id="73" w:name="_Hlk72093866"/>
      <w:r>
        <w:rPr>
          <w:rFonts w:hint="eastAsia"/>
          <w:b/>
          <w:sz w:val="24"/>
        </w:rPr>
        <w:t>“正偏离”表示“投标响应优于招标技术要求”，“负偏离”表示“投标响应不满足招标技术要求”，“无偏离”表示“投标响应与招标技术要求一致”</w:t>
      </w:r>
      <w:bookmarkEnd w:id="73"/>
      <w:r>
        <w:rPr>
          <w:rFonts w:hint="eastAsia"/>
          <w:b/>
          <w:sz w:val="24"/>
        </w:rPr>
        <w:t>。“投标技术响应”对比“招标技术要求”存在响应不全（包括未响应整项招标技术要求或者未响应一项招标技术要求的部分内容），均视为“负偏离”。</w:t>
      </w:r>
    </w:p>
    <w:p>
      <w:pPr>
        <w:ind w:firstLine="420" w:firstLineChars="200"/>
        <w:rPr>
          <w:b/>
          <w:sz w:val="24"/>
        </w:rPr>
      </w:pPr>
      <w:r>
        <w:rPr>
          <w:b/>
          <w:sz w:val="24"/>
        </w:rPr>
        <w:t>4</w:t>
      </w:r>
      <w:r>
        <w:rPr>
          <w:rFonts w:hint="eastAsia"/>
          <w:b/>
          <w:sz w:val="24"/>
        </w:rPr>
        <w:t>、未要求提供证明资料的招标技术要求，可以不提供证明资料（如实响应即可）。</w:t>
      </w:r>
    </w:p>
    <w:p>
      <w:pPr>
        <w:ind w:firstLine="420" w:firstLineChars="200"/>
        <w:rPr>
          <w:b/>
          <w:sz w:val="24"/>
        </w:rPr>
      </w:pPr>
      <w:r>
        <w:rPr>
          <w:rFonts w:hint="eastAsia"/>
          <w:b/>
          <w:sz w:val="24"/>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ind w:firstLine="420" w:firstLineChars="200"/>
        <w:rPr>
          <w:b/>
          <w:sz w:val="24"/>
        </w:rPr>
      </w:pPr>
      <w:r>
        <w:rPr>
          <w:rFonts w:hint="eastAsia"/>
          <w:b/>
          <w:sz w:val="24"/>
        </w:rPr>
        <w:t>6、</w:t>
      </w:r>
      <w:bookmarkStart w:id="74" w:name="_Hlk72096176"/>
      <w:r>
        <w:rPr>
          <w:rFonts w:hint="eastAsia"/>
          <w:b/>
          <w:sz w:val="24"/>
        </w:rPr>
        <w:t>证明资料的形式及其它具体要求</w:t>
      </w:r>
      <w:bookmarkEnd w:id="74"/>
      <w:r>
        <w:rPr>
          <w:rFonts w:hint="eastAsia"/>
          <w:b/>
          <w:sz w:val="24"/>
        </w:rPr>
        <w:t>：</w:t>
      </w:r>
    </w:p>
    <w:p>
      <w:pPr>
        <w:ind w:firstLine="420" w:firstLineChars="200"/>
        <w:rPr>
          <w:b/>
          <w:sz w:val="24"/>
        </w:rPr>
      </w:pPr>
      <w:r>
        <w:rPr>
          <w:rFonts w:hint="eastAsia"/>
          <w:b/>
          <w:sz w:val="24"/>
        </w:rPr>
        <w:t>（1）除照片、图片（截图）及不需加盖公章的文字说明（技术说明）外，其它证明资料均要求为原件扫描件；</w:t>
      </w:r>
    </w:p>
    <w:p>
      <w:pPr>
        <w:ind w:firstLine="420" w:firstLineChars="200"/>
        <w:rPr>
          <w:b/>
          <w:sz w:val="24"/>
        </w:rPr>
      </w:pPr>
      <w:r>
        <w:rPr>
          <w:rFonts w:hint="eastAsia"/>
          <w:b/>
          <w:sz w:val="24"/>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
          <w:sz w:val="24"/>
        </w:rPr>
      </w:pPr>
      <w:r>
        <w:rPr>
          <w:rFonts w:hint="eastAsia"/>
          <w:b/>
          <w:sz w:val="24"/>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
          <w:sz w:val="24"/>
        </w:rPr>
      </w:pPr>
      <w:r>
        <w:rPr>
          <w:rFonts w:hint="eastAsia"/>
          <w:b/>
          <w:sz w:val="24"/>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
          <w:sz w:val="24"/>
        </w:rPr>
      </w:pPr>
      <w:r>
        <w:rPr>
          <w:rFonts w:hint="eastAsia"/>
          <w:b/>
          <w:sz w:val="24"/>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
          <w:sz w:val="24"/>
        </w:rPr>
      </w:pPr>
      <w:r>
        <w:rPr>
          <w:rFonts w:hint="eastAsia"/>
          <w:b/>
          <w:sz w:val="24"/>
        </w:rPr>
        <w:t>其它证明资料的形式要求参照以上要求执行；</w:t>
      </w:r>
    </w:p>
    <w:p>
      <w:pPr>
        <w:ind w:firstLine="420" w:firstLineChars="200"/>
        <w:rPr>
          <w:b/>
          <w:sz w:val="24"/>
        </w:rPr>
      </w:pPr>
      <w:r>
        <w:rPr>
          <w:rFonts w:hint="eastAsia"/>
          <w:b/>
          <w:sz w:val="24"/>
        </w:rPr>
        <w:t>（4）证明资料均要求原件备查。</w:t>
      </w:r>
    </w:p>
    <w:p>
      <w:pPr>
        <w:ind w:firstLine="420" w:firstLineChars="200"/>
        <w:rPr>
          <w:b/>
          <w:sz w:val="24"/>
        </w:rPr>
      </w:pPr>
      <w:r>
        <w:rPr>
          <w:rFonts w:hint="eastAsia"/>
          <w:b/>
          <w:sz w:val="24"/>
        </w:rPr>
        <w:t>7、其它注意事项：评审委员会有权对投标人的响应情况作出判断（评审结论）；</w:t>
      </w:r>
    </w:p>
    <w:p>
      <w:pPr>
        <w:rPr>
          <w:sz w:val="24"/>
        </w:rPr>
      </w:pPr>
    </w:p>
    <w:p>
      <w:pPr>
        <w:pStyle w:val="Heading3"/>
        <w:jc w:val="center"/>
        <w:rPr>
          <w:rFonts w:hint="eastAsia"/>
          <w:b/>
          <w:sz w:val="24"/>
        </w:rPr>
      </w:pPr>
      <w:r>
        <w:rPr>
          <w:rFonts w:ascii="黑体" w:eastAsia="黑体" w:hint="eastAsia"/>
          <w:b w:val="0"/>
          <w:bCs w:val="0"/>
          <w:sz w:val="24"/>
          <w:szCs w:val="20"/>
        </w:rPr>
        <w:t>五、商务要求偏离表</w:t>
      </w:r>
    </w:p>
    <w:tbl>
      <w:tblPr>
        <w:tblStyle w:val="TableNormal"/>
        <w:tblW w:w="83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18"/>
        <w:gridCol w:w="1566"/>
        <w:gridCol w:w="2892"/>
        <w:gridCol w:w="1155"/>
        <w:gridCol w:w="663"/>
        <w:gridCol w:w="837"/>
      </w:tblGrid>
      <w:tr>
        <w:tblPrEx>
          <w:tblW w:w="83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18" w:type="dxa"/>
            <w:vAlign w:val="center"/>
          </w:tcPr>
          <w:p>
            <w:pPr>
              <w:jc w:val="center"/>
              <w:rPr>
                <w:b/>
              </w:rPr>
            </w:pPr>
            <w:r>
              <w:rPr>
                <w:rFonts w:hint="eastAsia"/>
                <w:b/>
              </w:rPr>
              <w:t>序号</w:t>
            </w:r>
          </w:p>
        </w:tc>
        <w:tc>
          <w:tcPr>
            <w:tcW w:w="1566" w:type="dxa"/>
            <w:vAlign w:val="center"/>
          </w:tcPr>
          <w:p>
            <w:pPr>
              <w:jc w:val="center"/>
              <w:rPr>
                <w:b/>
              </w:rPr>
            </w:pPr>
            <w:r>
              <w:rPr>
                <w:rFonts w:hint="eastAsia"/>
                <w:b/>
              </w:rPr>
              <w:t>商务需求项</w:t>
            </w:r>
          </w:p>
        </w:tc>
        <w:tc>
          <w:tcPr>
            <w:tcW w:w="2892" w:type="dxa"/>
            <w:vAlign w:val="center"/>
          </w:tcPr>
          <w:p>
            <w:pPr>
              <w:jc w:val="center"/>
              <w:rPr>
                <w:b/>
              </w:rPr>
            </w:pPr>
            <w:r>
              <w:rPr>
                <w:rFonts w:hint="eastAsia"/>
                <w:b/>
              </w:rPr>
              <w:t>招标商务要求</w:t>
            </w:r>
          </w:p>
        </w:tc>
        <w:tc>
          <w:tcPr>
            <w:tcW w:w="1155" w:type="dxa"/>
            <w:vAlign w:val="center"/>
          </w:tcPr>
          <w:p>
            <w:pPr>
              <w:jc w:val="center"/>
              <w:rPr>
                <w:rFonts w:hint="eastAsia"/>
                <w:b/>
              </w:rPr>
            </w:pPr>
            <w:r>
              <w:rPr>
                <w:rFonts w:hint="eastAsia"/>
                <w:b/>
              </w:rPr>
              <w:t>投标商务响应</w:t>
            </w:r>
          </w:p>
        </w:tc>
        <w:tc>
          <w:tcPr>
            <w:tcW w:w="663" w:type="dxa"/>
            <w:vAlign w:val="center"/>
          </w:tcPr>
          <w:p>
            <w:pPr>
              <w:jc w:val="center"/>
              <w:rPr>
                <w:rFonts w:hint="eastAsia"/>
                <w:b/>
              </w:rPr>
            </w:pPr>
            <w:r>
              <w:rPr>
                <w:rFonts w:hint="eastAsia"/>
                <w:b/>
              </w:rPr>
              <w:t>偏离情况</w:t>
            </w:r>
          </w:p>
        </w:tc>
        <w:tc>
          <w:tcPr>
            <w:tcW w:w="837" w:type="dxa"/>
            <w:vAlign w:val="center"/>
          </w:tcPr>
          <w:p>
            <w:pPr>
              <w:jc w:val="center"/>
              <w:rPr>
                <w:rFonts w:hint="eastAsia"/>
                <w:b/>
              </w:rPr>
            </w:pPr>
            <w:r>
              <w:rPr>
                <w:rFonts w:hint="eastAsia"/>
                <w:b/>
              </w:rPr>
              <w:t>说明</w:t>
            </w:r>
          </w:p>
        </w:tc>
      </w:tr>
      <w:tr>
        <w:tblPrEx>
          <w:tblW w:w="8331" w:type="dxa"/>
          <w:tblInd w:w="0" w:type="dxa"/>
          <w:tblLayout w:type="fixed"/>
          <w:tblCellMar>
            <w:top w:w="0" w:type="dxa"/>
            <w:left w:w="108" w:type="dxa"/>
            <w:bottom w:w="0" w:type="dxa"/>
            <w:right w:w="108" w:type="dxa"/>
          </w:tblCellMar>
        </w:tblPrEx>
        <w:trPr>
          <w:trHeight w:val="280"/>
        </w:trPr>
        <w:tc>
          <w:tcPr>
            <w:tcW w:w="5676" w:type="dxa"/>
            <w:gridSpan w:val="3"/>
          </w:tcPr>
          <w:p>
            <w:pPr>
              <w:rPr>
                <w:b/>
              </w:rPr>
            </w:pPr>
            <w:r>
              <w:rPr>
                <w:rFonts w:hint="eastAsia"/>
                <w:b/>
              </w:rPr>
              <w:t>（一）免费保修期内售后服务要求</w:t>
            </w:r>
          </w:p>
        </w:tc>
        <w:tc>
          <w:tcPr>
            <w:tcW w:w="1155" w:type="dxa"/>
          </w:tcPr>
          <w:p>
            <w:pPr>
              <w:rPr>
                <w:rFonts w:hint="eastAsia"/>
                <w:b/>
              </w:rPr>
            </w:pPr>
          </w:p>
        </w:tc>
        <w:tc>
          <w:tcPr>
            <w:tcW w:w="663" w:type="dxa"/>
          </w:tcPr>
          <w:p>
            <w:pPr>
              <w:rPr>
                <w:rFonts w:hint="eastAsia"/>
                <w:b/>
              </w:rPr>
            </w:pPr>
          </w:p>
        </w:tc>
        <w:tc>
          <w:tcPr>
            <w:tcW w:w="837" w:type="dxa"/>
          </w:tcPr>
          <w:p>
            <w:pPr>
              <w:rPr>
                <w:rFonts w:hint="eastAsia"/>
                <w:b/>
              </w:rPr>
            </w:pPr>
          </w:p>
        </w:tc>
      </w:tr>
      <w:tr>
        <w:tblPrEx>
          <w:tblW w:w="8331"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1</w:t>
            </w:r>
          </w:p>
        </w:tc>
        <w:tc>
          <w:tcPr>
            <w:tcW w:w="1566" w:type="dxa"/>
            <w:vAlign w:val="center"/>
          </w:tcPr>
          <w:p>
            <w:r>
              <w:rPr>
                <w:rFonts w:hint="eastAsia"/>
              </w:rPr>
              <w:t>关于免费保修期</w:t>
            </w:r>
          </w:p>
        </w:tc>
        <w:tc>
          <w:tcPr>
            <w:tcW w:w="2892" w:type="dxa"/>
            <w:vAlign w:val="center"/>
          </w:tcPr>
          <w:p>
            <w:pPr>
              <w:rPr>
                <w:bCs/>
                <w:szCs w:val="21"/>
              </w:rPr>
            </w:pPr>
            <w:r>
              <w:rPr>
                <w:rFonts w:hint="eastAsia"/>
              </w:rPr>
              <w:t>货物免费保修期</w:t>
            </w:r>
            <w:r>
              <w:rPr>
                <w:rFonts w:hint="eastAsia"/>
                <w:u w:val="single"/>
              </w:rPr>
              <w:t xml:space="preserve"> 两 </w:t>
            </w:r>
            <w:r>
              <w:rPr>
                <w:rFonts w:hint="eastAsia"/>
              </w:rPr>
              <w:t>年，时间自最终验收合格并交付使用之日起计算。免费保修期内所有设备或系统故障的修复全部费用由中标人承担。</w:t>
            </w:r>
          </w:p>
        </w:tc>
        <w:tc>
          <w:tcPr>
            <w:tcW w:w="1155" w:type="dxa"/>
            <w:vAlign w:val="center"/>
          </w:tcPr>
          <w:p>
            <w:pPr>
              <w:rPr>
                <w:rFonts w:hint="eastAsia"/>
              </w:rPr>
            </w:pPr>
          </w:p>
        </w:tc>
        <w:tc>
          <w:tcPr>
            <w:tcW w:w="663" w:type="dxa"/>
            <w:vAlign w:val="center"/>
          </w:tcPr>
          <w:p>
            <w:pPr>
              <w:rPr>
                <w:rFonts w:hint="eastAsia"/>
              </w:rPr>
            </w:pPr>
          </w:p>
        </w:tc>
        <w:tc>
          <w:tcPr>
            <w:tcW w:w="837" w:type="dxa"/>
            <w:vAlign w:val="center"/>
          </w:tcPr>
          <w:p>
            <w:pPr>
              <w:rPr>
                <w:rFonts w:hint="eastAsia"/>
              </w:rPr>
            </w:pPr>
          </w:p>
        </w:tc>
      </w:tr>
      <w:tr>
        <w:tblPrEx>
          <w:tblW w:w="8331"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2</w:t>
            </w:r>
          </w:p>
        </w:tc>
        <w:tc>
          <w:tcPr>
            <w:tcW w:w="1566" w:type="dxa"/>
            <w:vAlign w:val="center"/>
          </w:tcPr>
          <w:p>
            <w:r>
              <w:rPr>
                <w:rFonts w:hint="eastAsia"/>
              </w:rPr>
              <w:t>维修响应及故障解决时间</w:t>
            </w:r>
          </w:p>
        </w:tc>
        <w:tc>
          <w:tcPr>
            <w:tcW w:w="2892" w:type="dxa"/>
            <w:vAlign w:val="center"/>
          </w:tcPr>
          <w:p>
            <w:pPr>
              <w:rPr>
                <w:bCs/>
                <w:szCs w:val="21"/>
              </w:rPr>
            </w:pPr>
            <w:r>
              <w:t>保修期间设备或软件系统发生故障，</w:t>
            </w:r>
            <w:r>
              <w:rPr>
                <w:rFonts w:hint="eastAsia"/>
              </w:rPr>
              <w:t>中标人应在不超过</w:t>
            </w:r>
            <w:r>
              <w:t>4</w:t>
            </w:r>
            <w:r>
              <w:rPr>
                <w:rFonts w:hint="eastAsia"/>
              </w:rPr>
              <w:t>小时内对用户的服务要求做出响应，接到用户维修通知后1个工作日内必须到客户现场进行修理或更换。</w:t>
            </w:r>
          </w:p>
        </w:tc>
        <w:tc>
          <w:tcPr>
            <w:tcW w:w="1155" w:type="dxa"/>
            <w:vAlign w:val="center"/>
          </w:tcPr>
          <w:p/>
        </w:tc>
        <w:tc>
          <w:tcPr>
            <w:tcW w:w="663" w:type="dxa"/>
            <w:vAlign w:val="center"/>
          </w:tcPr>
          <w:p/>
        </w:tc>
        <w:tc>
          <w:tcPr>
            <w:tcW w:w="837" w:type="dxa"/>
            <w:vAlign w:val="center"/>
          </w:tcPr>
          <w:p/>
        </w:tc>
      </w:tr>
      <w:tr>
        <w:tblPrEx>
          <w:tblW w:w="8331" w:type="dxa"/>
          <w:tblInd w:w="0" w:type="dxa"/>
          <w:tblLayout w:type="fixed"/>
          <w:tblCellMar>
            <w:top w:w="0" w:type="dxa"/>
            <w:left w:w="108" w:type="dxa"/>
            <w:bottom w:w="0" w:type="dxa"/>
            <w:right w:w="108" w:type="dxa"/>
          </w:tblCellMar>
        </w:tblPrEx>
        <w:trPr>
          <w:trHeight w:val="523"/>
        </w:trPr>
        <w:tc>
          <w:tcPr>
            <w:tcW w:w="1218" w:type="dxa"/>
            <w:vAlign w:val="center"/>
          </w:tcPr>
          <w:p>
            <w:pPr>
              <w:jc w:val="center"/>
              <w:rPr>
                <w:bCs/>
              </w:rPr>
            </w:pPr>
            <w:r>
              <w:rPr>
                <w:rFonts w:hint="eastAsia"/>
                <w:bCs/>
              </w:rPr>
              <w:t>3</w:t>
            </w:r>
          </w:p>
        </w:tc>
        <w:tc>
          <w:tcPr>
            <w:tcW w:w="1566" w:type="dxa"/>
            <w:vAlign w:val="center"/>
          </w:tcPr>
          <w:p>
            <w:r>
              <w:rPr>
                <w:rFonts w:hint="eastAsia"/>
              </w:rPr>
              <w:t>培训</w:t>
            </w:r>
          </w:p>
        </w:tc>
        <w:tc>
          <w:tcPr>
            <w:tcW w:w="2892" w:type="dxa"/>
            <w:vAlign w:val="center"/>
          </w:tcPr>
          <w:p>
            <w:pPr>
              <w:rPr>
                <w:bCs/>
                <w:szCs w:val="21"/>
              </w:rPr>
            </w:pPr>
            <w:r>
              <w:rPr>
                <w:rFonts w:hint="eastAsia"/>
              </w:rPr>
              <w:t>技术培训工作应与系统安装、实施工作同步进行，中标人需针对不同应用系统的特点，有计划、有针对性地开展培训。免费提供全套完整的使用文档（含软硬件应用人员操作手册、软件系统管理手册等）。对使用者进行科学的、有组织、分步骤的培训，确保建设单位的运行管理人员熟练使用各个系统。</w:t>
            </w:r>
          </w:p>
        </w:tc>
        <w:tc>
          <w:tcPr>
            <w:tcW w:w="1155" w:type="dxa"/>
            <w:vAlign w:val="center"/>
          </w:tcPr>
          <w:p>
            <w:pPr>
              <w:rPr>
                <w:rFonts w:hint="eastAsia"/>
              </w:rPr>
            </w:pPr>
          </w:p>
        </w:tc>
        <w:tc>
          <w:tcPr>
            <w:tcW w:w="663" w:type="dxa"/>
            <w:vAlign w:val="center"/>
          </w:tcPr>
          <w:p>
            <w:pPr>
              <w:rPr>
                <w:rFonts w:hint="eastAsia"/>
              </w:rPr>
            </w:pPr>
          </w:p>
        </w:tc>
        <w:tc>
          <w:tcPr>
            <w:tcW w:w="837" w:type="dxa"/>
            <w:vAlign w:val="center"/>
          </w:tcPr>
          <w:p>
            <w:pPr>
              <w:rPr>
                <w:rFonts w:hint="eastAsia"/>
              </w:rPr>
            </w:pPr>
          </w:p>
        </w:tc>
      </w:tr>
      <w:tr>
        <w:tblPrEx>
          <w:tblW w:w="8331" w:type="dxa"/>
          <w:tblInd w:w="0" w:type="dxa"/>
          <w:tblLayout w:type="fixed"/>
          <w:tblCellMar>
            <w:top w:w="0" w:type="dxa"/>
            <w:left w:w="108" w:type="dxa"/>
            <w:bottom w:w="0" w:type="dxa"/>
            <w:right w:w="108" w:type="dxa"/>
          </w:tblCellMar>
        </w:tblPrEx>
        <w:trPr>
          <w:trHeight w:val="280"/>
        </w:trPr>
        <w:tc>
          <w:tcPr>
            <w:tcW w:w="5676" w:type="dxa"/>
            <w:gridSpan w:val="3"/>
          </w:tcPr>
          <w:p>
            <w:pPr>
              <w:rPr>
                <w:b/>
              </w:rPr>
            </w:pPr>
            <w:r>
              <w:rPr>
                <w:rFonts w:hint="eastAsia"/>
                <w:b/>
              </w:rPr>
              <w:t>（二）免费保修期外售后服务要求</w:t>
            </w:r>
          </w:p>
        </w:tc>
        <w:tc>
          <w:tcPr>
            <w:tcW w:w="1155" w:type="dxa"/>
          </w:tcPr>
          <w:p>
            <w:pPr>
              <w:rPr>
                <w:rFonts w:hint="eastAsia"/>
                <w:b/>
              </w:rPr>
            </w:pPr>
          </w:p>
        </w:tc>
        <w:tc>
          <w:tcPr>
            <w:tcW w:w="663" w:type="dxa"/>
          </w:tcPr>
          <w:p>
            <w:pPr>
              <w:rPr>
                <w:rFonts w:hint="eastAsia"/>
                <w:b/>
              </w:rPr>
            </w:pPr>
          </w:p>
        </w:tc>
        <w:tc>
          <w:tcPr>
            <w:tcW w:w="837" w:type="dxa"/>
          </w:tcPr>
          <w:p>
            <w:pPr>
              <w:rPr>
                <w:rFonts w:hint="eastAsia"/>
                <w:b/>
              </w:rPr>
            </w:pPr>
          </w:p>
        </w:tc>
      </w:tr>
      <w:tr>
        <w:tblPrEx>
          <w:tblW w:w="8331" w:type="dxa"/>
          <w:tblInd w:w="0" w:type="dxa"/>
          <w:tblLayout w:type="fixed"/>
          <w:tblCellMar>
            <w:top w:w="0" w:type="dxa"/>
            <w:left w:w="108" w:type="dxa"/>
            <w:bottom w:w="0" w:type="dxa"/>
            <w:right w:w="108" w:type="dxa"/>
          </w:tblCellMar>
        </w:tblPrEx>
        <w:trPr>
          <w:trHeight w:val="350"/>
        </w:trPr>
        <w:tc>
          <w:tcPr>
            <w:tcW w:w="1218" w:type="dxa"/>
            <w:vAlign w:val="center"/>
          </w:tcPr>
          <w:p>
            <w:pPr>
              <w:jc w:val="center"/>
              <w:rPr>
                <w:bCs/>
              </w:rPr>
            </w:pPr>
            <w:r>
              <w:rPr>
                <w:rFonts w:hint="eastAsia"/>
                <w:bCs/>
              </w:rPr>
              <w:t>1</w:t>
            </w:r>
          </w:p>
        </w:tc>
        <w:tc>
          <w:tcPr>
            <w:tcW w:w="1566" w:type="dxa"/>
          </w:tcPr>
          <w:p>
            <w:pPr>
              <w:rPr>
                <w:b/>
              </w:rPr>
            </w:pPr>
            <w:r>
              <w:rPr>
                <w:rFonts w:hint="eastAsia"/>
              </w:rPr>
              <w:t>维修响应及故障解决时间</w:t>
            </w:r>
          </w:p>
        </w:tc>
        <w:tc>
          <w:tcPr>
            <w:tcW w:w="2892" w:type="dxa"/>
          </w:tcPr>
          <w:p>
            <w:pPr>
              <w:rPr>
                <w:b/>
              </w:rPr>
            </w:pPr>
            <w:r>
              <w:rPr>
                <w:bCs/>
                <w:szCs w:val="21"/>
              </w:rPr>
              <w:t>设备或软件系统发生故障，</w:t>
            </w:r>
            <w:r>
              <w:rPr>
                <w:rFonts w:hint="eastAsia"/>
                <w:bCs/>
                <w:szCs w:val="21"/>
              </w:rPr>
              <w:t>中标人应在不超过</w:t>
            </w:r>
            <w:r>
              <w:rPr>
                <w:bCs/>
                <w:szCs w:val="21"/>
              </w:rPr>
              <w:t>4</w:t>
            </w:r>
            <w:r>
              <w:rPr>
                <w:rFonts w:hint="eastAsia"/>
                <w:bCs/>
                <w:szCs w:val="21"/>
              </w:rPr>
              <w:t>小时内对用户的服务要求做出响应，接到用户维修通知后1个工作日内必须到客户现场进行修理或更换。</w:t>
            </w:r>
          </w:p>
        </w:tc>
        <w:tc>
          <w:tcPr>
            <w:tcW w:w="1155" w:type="dxa"/>
          </w:tcPr>
          <w:p>
            <w:pPr>
              <w:rPr>
                <w:bCs/>
                <w:szCs w:val="21"/>
              </w:rPr>
            </w:pPr>
          </w:p>
        </w:tc>
        <w:tc>
          <w:tcPr>
            <w:tcW w:w="663" w:type="dxa"/>
          </w:tcPr>
          <w:p>
            <w:pPr>
              <w:rPr>
                <w:bCs/>
                <w:szCs w:val="21"/>
              </w:rPr>
            </w:pPr>
          </w:p>
        </w:tc>
        <w:tc>
          <w:tcPr>
            <w:tcW w:w="837" w:type="dxa"/>
          </w:tcPr>
          <w:p>
            <w:pPr>
              <w:rPr>
                <w:bCs/>
                <w:szCs w:val="21"/>
              </w:rPr>
            </w:pPr>
          </w:p>
        </w:tc>
      </w:tr>
      <w:tr>
        <w:tblPrEx>
          <w:tblW w:w="8331" w:type="dxa"/>
          <w:tblInd w:w="0" w:type="dxa"/>
          <w:tblLayout w:type="fixed"/>
          <w:tblCellMar>
            <w:top w:w="0" w:type="dxa"/>
            <w:left w:w="108" w:type="dxa"/>
            <w:bottom w:w="0" w:type="dxa"/>
            <w:right w:w="108" w:type="dxa"/>
          </w:tblCellMar>
        </w:tblPrEx>
        <w:trPr>
          <w:trHeight w:val="350"/>
        </w:trPr>
        <w:tc>
          <w:tcPr>
            <w:tcW w:w="1218" w:type="dxa"/>
            <w:vAlign w:val="center"/>
          </w:tcPr>
          <w:p>
            <w:pPr>
              <w:jc w:val="center"/>
              <w:rPr>
                <w:bCs/>
              </w:rPr>
            </w:pPr>
            <w:r>
              <w:rPr>
                <w:rFonts w:hint="eastAsia"/>
                <w:bCs/>
              </w:rPr>
              <w:t>2</w:t>
            </w:r>
          </w:p>
        </w:tc>
        <w:tc>
          <w:tcPr>
            <w:tcW w:w="1566" w:type="dxa"/>
          </w:tcPr>
          <w:p>
            <w:pPr>
              <w:jc w:val="center"/>
              <w:rPr>
                <w:b/>
              </w:rPr>
            </w:pPr>
            <w:r>
              <w:rPr>
                <w:bCs/>
                <w:szCs w:val="21"/>
              </w:rPr>
              <w:t>零配件</w:t>
            </w:r>
          </w:p>
        </w:tc>
        <w:tc>
          <w:tcPr>
            <w:tcW w:w="2892" w:type="dxa"/>
          </w:tcPr>
          <w:p>
            <w:pPr>
              <w:rPr>
                <w:b/>
              </w:rPr>
            </w:pPr>
            <w:r>
              <w:rPr>
                <w:bCs/>
                <w:szCs w:val="21"/>
              </w:rPr>
              <w:t>若甲方有扩容需求或更换零配件</w:t>
            </w:r>
            <w:r>
              <w:rPr>
                <w:rFonts w:hint="eastAsia"/>
                <w:bCs/>
                <w:szCs w:val="21"/>
              </w:rPr>
              <w:t>，</w:t>
            </w:r>
            <w:r>
              <w:rPr>
                <w:bCs/>
                <w:szCs w:val="21"/>
              </w:rPr>
              <w:t>乙方需按照</w:t>
            </w:r>
            <w:r>
              <w:rPr>
                <w:rFonts w:hint="eastAsia"/>
                <w:bCs/>
                <w:szCs w:val="21"/>
              </w:rPr>
              <w:t>本</w:t>
            </w:r>
            <w:r>
              <w:rPr>
                <w:bCs/>
                <w:szCs w:val="21"/>
              </w:rPr>
              <w:t>次合同的单价执行</w:t>
            </w:r>
            <w:r>
              <w:rPr>
                <w:rFonts w:hint="eastAsia"/>
                <w:bCs/>
                <w:szCs w:val="21"/>
              </w:rPr>
              <w:t>，</w:t>
            </w:r>
            <w:r>
              <w:rPr>
                <w:bCs/>
                <w:szCs w:val="21"/>
              </w:rPr>
              <w:t>或低于</w:t>
            </w:r>
            <w:r>
              <w:rPr>
                <w:rFonts w:hint="eastAsia"/>
                <w:bCs/>
                <w:szCs w:val="21"/>
              </w:rPr>
              <w:t>本</w:t>
            </w:r>
            <w:r>
              <w:rPr>
                <w:bCs/>
                <w:szCs w:val="21"/>
              </w:rPr>
              <w:t>次合同的单价执行</w:t>
            </w:r>
            <w:r>
              <w:rPr>
                <w:rFonts w:hint="eastAsia"/>
                <w:bCs/>
                <w:szCs w:val="21"/>
              </w:rPr>
              <w:t>。</w:t>
            </w:r>
          </w:p>
        </w:tc>
        <w:tc>
          <w:tcPr>
            <w:tcW w:w="1155" w:type="dxa"/>
          </w:tcPr>
          <w:p>
            <w:pPr>
              <w:rPr>
                <w:bCs/>
                <w:szCs w:val="21"/>
              </w:rPr>
            </w:pPr>
          </w:p>
        </w:tc>
        <w:tc>
          <w:tcPr>
            <w:tcW w:w="663" w:type="dxa"/>
          </w:tcPr>
          <w:p>
            <w:pPr>
              <w:rPr>
                <w:bCs/>
                <w:szCs w:val="21"/>
              </w:rPr>
            </w:pPr>
          </w:p>
        </w:tc>
        <w:tc>
          <w:tcPr>
            <w:tcW w:w="837" w:type="dxa"/>
          </w:tcPr>
          <w:p>
            <w:pPr>
              <w:rPr>
                <w:bCs/>
                <w:szCs w:val="21"/>
              </w:rPr>
            </w:pPr>
          </w:p>
        </w:tc>
      </w:tr>
      <w:tr>
        <w:tblPrEx>
          <w:tblW w:w="8331" w:type="dxa"/>
          <w:tblInd w:w="0" w:type="dxa"/>
          <w:tblLayout w:type="fixed"/>
          <w:tblCellMar>
            <w:top w:w="0" w:type="dxa"/>
            <w:left w:w="108" w:type="dxa"/>
            <w:bottom w:w="0" w:type="dxa"/>
            <w:right w:w="108" w:type="dxa"/>
          </w:tblCellMar>
        </w:tblPrEx>
        <w:trPr>
          <w:trHeight w:val="350"/>
        </w:trPr>
        <w:tc>
          <w:tcPr>
            <w:tcW w:w="5676" w:type="dxa"/>
            <w:gridSpan w:val="3"/>
          </w:tcPr>
          <w:p>
            <w:pPr>
              <w:rPr>
                <w:b/>
              </w:rPr>
            </w:pPr>
            <w:r>
              <w:rPr>
                <w:rFonts w:hint="eastAsia"/>
                <w:b/>
              </w:rPr>
              <w:t>（三）其他商务要求</w:t>
            </w:r>
          </w:p>
        </w:tc>
        <w:tc>
          <w:tcPr>
            <w:tcW w:w="1155" w:type="dxa"/>
          </w:tcPr>
          <w:p>
            <w:pPr>
              <w:rPr>
                <w:rFonts w:hint="eastAsia"/>
                <w:b/>
              </w:rPr>
            </w:pPr>
          </w:p>
        </w:tc>
        <w:tc>
          <w:tcPr>
            <w:tcW w:w="663" w:type="dxa"/>
          </w:tcPr>
          <w:p>
            <w:pPr>
              <w:rPr>
                <w:rFonts w:hint="eastAsia"/>
                <w:b/>
              </w:rPr>
            </w:pPr>
          </w:p>
        </w:tc>
        <w:tc>
          <w:tcPr>
            <w:tcW w:w="837" w:type="dxa"/>
          </w:tcPr>
          <w:p>
            <w:pPr>
              <w:rPr>
                <w:rFonts w:hint="eastAsia"/>
                <w:b/>
              </w:rPr>
            </w:pPr>
          </w:p>
        </w:tc>
      </w:tr>
      <w:tr>
        <w:tblPrEx>
          <w:tblW w:w="8331" w:type="dxa"/>
          <w:tblInd w:w="0" w:type="dxa"/>
          <w:tblLayout w:type="fixed"/>
          <w:tblCellMar>
            <w:top w:w="0" w:type="dxa"/>
            <w:left w:w="108" w:type="dxa"/>
            <w:bottom w:w="0" w:type="dxa"/>
            <w:right w:w="108" w:type="dxa"/>
          </w:tblCellMar>
        </w:tblPrEx>
        <w:trPr>
          <w:trHeight w:val="375"/>
        </w:trPr>
        <w:tc>
          <w:tcPr>
            <w:tcW w:w="1218" w:type="dxa"/>
            <w:vMerge w:val="restart"/>
            <w:vAlign w:val="center"/>
          </w:tcPr>
          <w:p>
            <w:pPr>
              <w:jc w:val="center"/>
              <w:rPr>
                <w:b/>
              </w:rPr>
            </w:pPr>
            <w:r>
              <w:rPr>
                <w:rFonts w:hint="eastAsia"/>
                <w:b/>
              </w:rPr>
              <w:t>1</w:t>
            </w:r>
          </w:p>
        </w:tc>
        <w:tc>
          <w:tcPr>
            <w:tcW w:w="1566" w:type="dxa"/>
            <w:vMerge w:val="restart"/>
            <w:vAlign w:val="center"/>
          </w:tcPr>
          <w:p>
            <w:pPr>
              <w:jc w:val="center"/>
            </w:pPr>
            <w:r>
              <w:rPr>
                <w:rFonts w:hint="eastAsia"/>
              </w:rPr>
              <w:t>关于交货</w:t>
            </w:r>
          </w:p>
        </w:tc>
        <w:tc>
          <w:tcPr>
            <w:tcW w:w="2892" w:type="dxa"/>
          </w:tcPr>
          <w:p>
            <w:pPr>
              <w:rPr>
                <w:bCs/>
                <w:szCs w:val="21"/>
              </w:rPr>
            </w:pPr>
            <w:r>
              <w:rPr>
                <w:rFonts w:hint="eastAsia"/>
                <w:bCs/>
                <w:szCs w:val="21"/>
              </w:rPr>
              <w:t>1.1交货地点：清华大学深圳国际研究生院“国际一期”大楼</w:t>
            </w:r>
          </w:p>
        </w:tc>
        <w:tc>
          <w:tcPr>
            <w:tcW w:w="1155" w:type="dxa"/>
          </w:tcPr>
          <w:p>
            <w:pPr>
              <w:rPr>
                <w:rFonts w:hint="eastAsia"/>
                <w:bCs/>
                <w:szCs w:val="21"/>
              </w:rPr>
            </w:pPr>
          </w:p>
        </w:tc>
        <w:tc>
          <w:tcPr>
            <w:tcW w:w="663" w:type="dxa"/>
          </w:tcPr>
          <w:p>
            <w:pPr>
              <w:rPr>
                <w:rFonts w:hint="eastAsia"/>
                <w:bCs/>
                <w:szCs w:val="21"/>
              </w:rPr>
            </w:pPr>
          </w:p>
        </w:tc>
        <w:tc>
          <w:tcPr>
            <w:tcW w:w="837" w:type="dxa"/>
          </w:tcPr>
          <w:p>
            <w:pPr>
              <w:rPr>
                <w:rFonts w:hint="eastAsia"/>
                <w:bCs/>
                <w:szCs w:val="21"/>
              </w:rPr>
            </w:pPr>
          </w:p>
        </w:tc>
      </w:tr>
      <w:tr>
        <w:tblPrEx>
          <w:tblW w:w="8331" w:type="dxa"/>
          <w:tblInd w:w="0" w:type="dxa"/>
          <w:tblLayout w:type="fixed"/>
          <w:tblCellMar>
            <w:top w:w="0" w:type="dxa"/>
            <w:left w:w="108" w:type="dxa"/>
            <w:bottom w:w="0" w:type="dxa"/>
            <w:right w:w="108" w:type="dxa"/>
          </w:tblCellMar>
        </w:tblPrEx>
        <w:trPr>
          <w:trHeight w:val="376"/>
        </w:trPr>
        <w:tc>
          <w:tcPr>
            <w:tcW w:w="1218" w:type="dxa"/>
            <w:vMerge/>
            <w:vAlign w:val="center"/>
          </w:tcPr>
          <w:p>
            <w:pPr>
              <w:jc w:val="center"/>
              <w:rPr>
                <w:b/>
              </w:rPr>
            </w:pPr>
          </w:p>
        </w:tc>
        <w:tc>
          <w:tcPr>
            <w:tcW w:w="1566" w:type="dxa"/>
            <w:vMerge/>
            <w:vAlign w:val="center"/>
          </w:tcPr>
          <w:p>
            <w:pPr>
              <w:jc w:val="center"/>
            </w:pPr>
          </w:p>
        </w:tc>
        <w:tc>
          <w:tcPr>
            <w:tcW w:w="2892" w:type="dxa"/>
          </w:tcPr>
          <w:p>
            <w:pPr>
              <w:rPr>
                <w:bCs/>
                <w:szCs w:val="21"/>
              </w:rPr>
            </w:pPr>
            <w:r>
              <w:rPr>
                <w:rFonts w:hint="eastAsia"/>
                <w:bCs/>
                <w:szCs w:val="21"/>
              </w:rPr>
              <w:t>1.2投标人需承担的设备运输、安装调试、验收检测和提供设备操作说明书、图纸等其他类似的义务。</w:t>
            </w:r>
          </w:p>
        </w:tc>
        <w:tc>
          <w:tcPr>
            <w:tcW w:w="1155" w:type="dxa"/>
          </w:tcPr>
          <w:p>
            <w:pPr>
              <w:rPr>
                <w:rFonts w:hint="eastAsia"/>
                <w:bCs/>
                <w:szCs w:val="21"/>
              </w:rPr>
            </w:pPr>
          </w:p>
        </w:tc>
        <w:tc>
          <w:tcPr>
            <w:tcW w:w="663" w:type="dxa"/>
          </w:tcPr>
          <w:p>
            <w:pPr>
              <w:rPr>
                <w:rFonts w:hint="eastAsia"/>
                <w:bCs/>
                <w:szCs w:val="21"/>
              </w:rPr>
            </w:pPr>
          </w:p>
        </w:tc>
        <w:tc>
          <w:tcPr>
            <w:tcW w:w="837" w:type="dxa"/>
          </w:tcPr>
          <w:p>
            <w:pPr>
              <w:rPr>
                <w:rFonts w:hint="eastAsia"/>
                <w:bCs/>
                <w:szCs w:val="21"/>
              </w:rPr>
            </w:pPr>
          </w:p>
        </w:tc>
      </w:tr>
      <w:tr>
        <w:tblPrEx>
          <w:tblW w:w="8331" w:type="dxa"/>
          <w:tblInd w:w="0" w:type="dxa"/>
          <w:tblLayout w:type="fixed"/>
          <w:tblCellMar>
            <w:top w:w="0" w:type="dxa"/>
            <w:left w:w="108" w:type="dxa"/>
            <w:bottom w:w="0" w:type="dxa"/>
            <w:right w:w="108" w:type="dxa"/>
          </w:tblCellMar>
        </w:tblPrEx>
        <w:trPr>
          <w:trHeight w:val="376"/>
        </w:trPr>
        <w:tc>
          <w:tcPr>
            <w:tcW w:w="1218" w:type="dxa"/>
            <w:vMerge/>
            <w:vAlign w:val="center"/>
          </w:tcPr>
          <w:p>
            <w:pPr>
              <w:jc w:val="center"/>
              <w:rPr>
                <w:b/>
              </w:rPr>
            </w:pPr>
          </w:p>
        </w:tc>
        <w:tc>
          <w:tcPr>
            <w:tcW w:w="1566" w:type="dxa"/>
            <w:vMerge/>
            <w:vAlign w:val="center"/>
          </w:tcPr>
          <w:p>
            <w:pPr>
              <w:jc w:val="center"/>
            </w:pPr>
          </w:p>
        </w:tc>
        <w:tc>
          <w:tcPr>
            <w:tcW w:w="2892" w:type="dxa"/>
          </w:tcPr>
          <w:p>
            <w:pPr>
              <w:rPr>
                <w:bCs/>
                <w:szCs w:val="21"/>
              </w:rPr>
            </w:pPr>
            <w:r>
              <w:rPr>
                <w:rFonts w:ascii="宋体" w:hAnsi="宋体" w:cs="宋体" w:hint="eastAsia"/>
                <w:b/>
                <w:szCs w:val="21"/>
              </w:rPr>
              <w:t>★</w:t>
            </w:r>
            <w:r>
              <w:rPr>
                <w:rFonts w:hint="eastAsia"/>
                <w:bCs/>
                <w:szCs w:val="21"/>
              </w:rPr>
              <w:t>1.3签订合同后</w:t>
            </w:r>
            <w:r>
              <w:rPr>
                <w:rFonts w:hint="eastAsia"/>
                <w:bCs/>
                <w:szCs w:val="21"/>
                <w:u w:val="single"/>
              </w:rPr>
              <w:t>45</w:t>
            </w:r>
            <w:r>
              <w:rPr>
                <w:rFonts w:hint="eastAsia"/>
                <w:bCs/>
                <w:szCs w:val="21"/>
              </w:rPr>
              <w:t>天（日历日）内交货。</w:t>
            </w:r>
          </w:p>
        </w:tc>
        <w:tc>
          <w:tcPr>
            <w:tcW w:w="1155" w:type="dxa"/>
          </w:tcPr>
          <w:p>
            <w:pPr>
              <w:rPr>
                <w:rFonts w:ascii="宋体" w:hAnsi="宋体" w:cs="宋体" w:hint="eastAsia"/>
                <w:b/>
                <w:szCs w:val="21"/>
              </w:rPr>
            </w:pPr>
          </w:p>
        </w:tc>
        <w:tc>
          <w:tcPr>
            <w:tcW w:w="663" w:type="dxa"/>
          </w:tcPr>
          <w:p>
            <w:pPr>
              <w:rPr>
                <w:rFonts w:ascii="宋体" w:hAnsi="宋体" w:cs="宋体" w:hint="eastAsia"/>
                <w:b/>
                <w:szCs w:val="21"/>
              </w:rPr>
            </w:pPr>
          </w:p>
        </w:tc>
        <w:tc>
          <w:tcPr>
            <w:tcW w:w="837" w:type="dxa"/>
          </w:tcPr>
          <w:p>
            <w:pPr>
              <w:rPr>
                <w:rFonts w:ascii="宋体" w:hAnsi="宋体" w:cs="宋体" w:hint="eastAsia"/>
                <w:b/>
                <w:szCs w:val="21"/>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rPr>
                <w:b/>
              </w:rPr>
            </w:pPr>
            <w:r>
              <w:rPr>
                <w:rFonts w:hint="eastAsia"/>
                <w:b/>
              </w:rPr>
              <w:t>2</w:t>
            </w:r>
          </w:p>
        </w:tc>
        <w:tc>
          <w:tcPr>
            <w:tcW w:w="1566" w:type="dxa"/>
            <w:vMerge w:val="restart"/>
            <w:vAlign w:val="center"/>
          </w:tcPr>
          <w:p>
            <w:pPr>
              <w:jc w:val="center"/>
            </w:pPr>
            <w:r>
              <w:rPr>
                <w:rFonts w:hint="eastAsia"/>
              </w:rPr>
              <w:t>关于验收</w:t>
            </w:r>
          </w:p>
        </w:tc>
        <w:tc>
          <w:tcPr>
            <w:tcW w:w="2892" w:type="dxa"/>
          </w:tcPr>
          <w:p>
            <w:pPr>
              <w:spacing w:line="340" w:lineRule="exact"/>
              <w:rPr>
                <w:bCs/>
                <w:szCs w:val="21"/>
              </w:rPr>
            </w:pPr>
            <w:r>
              <w:rPr>
                <w:rFonts w:hint="eastAsia"/>
                <w:bCs/>
                <w:szCs w:val="21"/>
              </w:rPr>
              <w:t>2.1投标人货物经过双方检验认可后，签署验收报告，产品保修期自验收合格之日起算，由投标人提供产品保修文件。</w:t>
            </w:r>
          </w:p>
        </w:tc>
        <w:tc>
          <w:tcPr>
            <w:tcW w:w="1155" w:type="dxa"/>
          </w:tcPr>
          <w:p>
            <w:pPr>
              <w:spacing w:line="340" w:lineRule="exact"/>
              <w:rPr>
                <w:rFonts w:hint="eastAsia"/>
                <w:bCs/>
                <w:szCs w:val="21"/>
              </w:rPr>
            </w:pPr>
          </w:p>
        </w:tc>
        <w:tc>
          <w:tcPr>
            <w:tcW w:w="663" w:type="dxa"/>
          </w:tcPr>
          <w:p>
            <w:pPr>
              <w:spacing w:line="340" w:lineRule="exact"/>
              <w:rPr>
                <w:rFonts w:hint="eastAsia"/>
                <w:bCs/>
                <w:szCs w:val="21"/>
              </w:rPr>
            </w:pPr>
          </w:p>
        </w:tc>
        <w:tc>
          <w:tcPr>
            <w:tcW w:w="837" w:type="dxa"/>
          </w:tcPr>
          <w:p>
            <w:pPr>
              <w:spacing w:line="340" w:lineRule="exact"/>
              <w:rPr>
                <w:rFonts w:hint="eastAsia"/>
                <w:bCs/>
                <w:szCs w:val="21"/>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rPr>
                <w:b/>
              </w:rPr>
            </w:pPr>
          </w:p>
        </w:tc>
        <w:tc>
          <w:tcPr>
            <w:tcW w:w="1566" w:type="dxa"/>
            <w:vMerge/>
            <w:vAlign w:val="center"/>
          </w:tcPr>
          <w:p>
            <w:pPr>
              <w:rPr>
                <w:b/>
              </w:rPr>
            </w:pPr>
          </w:p>
        </w:tc>
        <w:tc>
          <w:tcPr>
            <w:tcW w:w="2892" w:type="dxa"/>
          </w:tcPr>
          <w:p>
            <w:pPr>
              <w:spacing w:line="340" w:lineRule="exact"/>
              <w:rPr>
                <w:bCs/>
                <w:szCs w:val="21"/>
              </w:rPr>
            </w:pPr>
            <w:r>
              <w:rPr>
                <w:rFonts w:hint="eastAsia"/>
                <w:bCs/>
                <w:szCs w:val="21"/>
              </w:rPr>
              <w:t>2.2当满足以下条件时，采购人才向中标人签发货物验收报告：</w:t>
            </w:r>
          </w:p>
          <w:p>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pPr>
              <w:tabs>
                <w:tab w:val="left" w:pos="1260"/>
              </w:tabs>
              <w:spacing w:line="340" w:lineRule="exact"/>
              <w:rPr>
                <w:bCs/>
                <w:szCs w:val="21"/>
              </w:rPr>
            </w:pPr>
            <w:r>
              <w:rPr>
                <w:bCs/>
                <w:szCs w:val="21"/>
              </w:rPr>
              <w:t>b</w:t>
            </w:r>
            <w:r>
              <w:rPr>
                <w:rFonts w:hint="eastAsia"/>
                <w:bCs/>
                <w:szCs w:val="21"/>
              </w:rPr>
              <w:t>、货物符合招标文件技术规格书的要求及投标文件响应，性能满足要求。</w:t>
            </w:r>
          </w:p>
          <w:p>
            <w:pPr>
              <w:tabs>
                <w:tab w:val="left" w:pos="1260"/>
              </w:tabs>
              <w:spacing w:line="340" w:lineRule="exact"/>
              <w:rPr>
                <w:bCs/>
                <w:szCs w:val="21"/>
              </w:rPr>
            </w:pPr>
            <w:r>
              <w:rPr>
                <w:bCs/>
                <w:szCs w:val="21"/>
              </w:rPr>
              <w:t>c</w:t>
            </w:r>
            <w:r>
              <w:rPr>
                <w:rFonts w:hint="eastAsia"/>
                <w:bCs/>
                <w:szCs w:val="21"/>
              </w:rPr>
              <w:t>、货物具备产品合格证。</w:t>
            </w:r>
          </w:p>
        </w:tc>
        <w:tc>
          <w:tcPr>
            <w:tcW w:w="1155" w:type="dxa"/>
          </w:tcPr>
          <w:p>
            <w:pPr>
              <w:tabs>
                <w:tab w:val="left" w:pos="1260"/>
              </w:tabs>
              <w:spacing w:line="340" w:lineRule="exact"/>
              <w:rPr>
                <w:bCs/>
                <w:szCs w:val="21"/>
              </w:rPr>
            </w:pPr>
          </w:p>
        </w:tc>
        <w:tc>
          <w:tcPr>
            <w:tcW w:w="663" w:type="dxa"/>
          </w:tcPr>
          <w:p>
            <w:pPr>
              <w:tabs>
                <w:tab w:val="left" w:pos="1260"/>
              </w:tabs>
              <w:spacing w:line="340" w:lineRule="exact"/>
              <w:rPr>
                <w:bCs/>
                <w:szCs w:val="21"/>
              </w:rPr>
            </w:pPr>
          </w:p>
        </w:tc>
        <w:tc>
          <w:tcPr>
            <w:tcW w:w="837" w:type="dxa"/>
          </w:tcPr>
          <w:p>
            <w:pPr>
              <w:tabs>
                <w:tab w:val="left" w:pos="1260"/>
              </w:tabs>
              <w:spacing w:line="340" w:lineRule="exact"/>
              <w:rPr>
                <w:bCs/>
                <w:szCs w:val="21"/>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pPr>
            <w:r>
              <w:rPr>
                <w:rFonts w:hint="eastAsia"/>
                <w:bCs/>
              </w:rPr>
              <w:t>3</w:t>
            </w:r>
          </w:p>
        </w:tc>
        <w:tc>
          <w:tcPr>
            <w:tcW w:w="1566" w:type="dxa"/>
            <w:vMerge w:val="restart"/>
            <w:vAlign w:val="center"/>
          </w:tcPr>
          <w:p>
            <w:pPr>
              <w:jc w:val="center"/>
              <w:rPr>
                <w:b/>
              </w:rPr>
            </w:pPr>
            <w:r>
              <w:rPr>
                <w:rFonts w:hint="eastAsia"/>
              </w:rPr>
              <w:t>关于违约</w:t>
            </w:r>
          </w:p>
        </w:tc>
        <w:tc>
          <w:tcPr>
            <w:tcW w:w="2892" w:type="dxa"/>
          </w:tcPr>
          <w:p>
            <w:pPr>
              <w:rPr>
                <w:b/>
              </w:rPr>
            </w:pPr>
            <w:r>
              <w:rPr>
                <w:rFonts w:hint="eastAsia"/>
                <w:b/>
              </w:rPr>
              <w:t>3.1中标人不能交货的，需偿付不能交货部分货款的</w:t>
            </w:r>
            <w:r>
              <w:rPr>
                <w:rFonts w:hint="eastAsia"/>
                <w:b/>
                <w:u w:val="single"/>
              </w:rPr>
              <w:t xml:space="preserve">  50  </w:t>
            </w:r>
            <w:r>
              <w:rPr>
                <w:rFonts w:hint="eastAsia"/>
                <w:b/>
              </w:rPr>
              <w:t>%的违约金并按主管部门相关规定处理。</w:t>
            </w:r>
          </w:p>
        </w:tc>
        <w:tc>
          <w:tcPr>
            <w:tcW w:w="1155" w:type="dxa"/>
          </w:tcPr>
          <w:p>
            <w:pPr>
              <w:rPr>
                <w:rFonts w:hint="eastAsia"/>
                <w:b/>
              </w:rPr>
            </w:pPr>
          </w:p>
        </w:tc>
        <w:tc>
          <w:tcPr>
            <w:tcW w:w="663" w:type="dxa"/>
          </w:tcPr>
          <w:p>
            <w:pPr>
              <w:rPr>
                <w:rFonts w:hint="eastAsia"/>
                <w:b/>
              </w:rPr>
            </w:pPr>
          </w:p>
        </w:tc>
        <w:tc>
          <w:tcPr>
            <w:tcW w:w="837" w:type="dxa"/>
          </w:tcPr>
          <w:p>
            <w:pPr>
              <w:rPr>
                <w:rFonts w:hint="eastAsia"/>
                <w:b/>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rPr>
                <w:b/>
              </w:rPr>
            </w:pPr>
          </w:p>
        </w:tc>
        <w:tc>
          <w:tcPr>
            <w:tcW w:w="1566" w:type="dxa"/>
            <w:vMerge/>
            <w:vAlign w:val="center"/>
          </w:tcPr>
          <w:p>
            <w:pPr>
              <w:jc w:val="center"/>
            </w:pPr>
          </w:p>
        </w:tc>
        <w:tc>
          <w:tcPr>
            <w:tcW w:w="2892" w:type="dxa"/>
          </w:tcPr>
          <w:p>
            <w:pPr>
              <w:rPr>
                <w:b/>
              </w:rPr>
            </w:pPr>
            <w:r>
              <w:rPr>
                <w:rFonts w:hint="eastAsia"/>
                <w:b/>
              </w:rPr>
              <w:t>3.2中标人所交付产品、工程或服务不符合其投标承诺的，或在投标阶段为了中标而盲目虚假承诺、低价恶性竞争，在履约阶段则通过偷工减料、以次充好而获取利润的，将被没收履约保证金，并被履约评价工作实施机构评为履约等级“差”并按主管部门相关规定处理。</w:t>
            </w:r>
          </w:p>
        </w:tc>
        <w:tc>
          <w:tcPr>
            <w:tcW w:w="1155" w:type="dxa"/>
          </w:tcPr>
          <w:p>
            <w:pPr>
              <w:rPr>
                <w:rFonts w:hint="eastAsia"/>
                <w:b/>
              </w:rPr>
            </w:pPr>
          </w:p>
        </w:tc>
        <w:tc>
          <w:tcPr>
            <w:tcW w:w="663" w:type="dxa"/>
          </w:tcPr>
          <w:p>
            <w:pPr>
              <w:rPr>
                <w:rFonts w:hint="eastAsia"/>
                <w:b/>
              </w:rPr>
            </w:pPr>
          </w:p>
        </w:tc>
        <w:tc>
          <w:tcPr>
            <w:tcW w:w="837" w:type="dxa"/>
          </w:tcPr>
          <w:p>
            <w:pPr>
              <w:rPr>
                <w:rFonts w:hint="eastAsia"/>
                <w:b/>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restart"/>
            <w:vAlign w:val="center"/>
          </w:tcPr>
          <w:p>
            <w:pPr>
              <w:jc w:val="center"/>
            </w:pPr>
            <w:r>
              <w:rPr>
                <w:rFonts w:hint="eastAsia"/>
              </w:rPr>
              <w:t>4</w:t>
            </w:r>
          </w:p>
        </w:tc>
        <w:tc>
          <w:tcPr>
            <w:tcW w:w="1566" w:type="dxa"/>
            <w:vMerge w:val="restart"/>
            <w:vAlign w:val="center"/>
          </w:tcPr>
          <w:p>
            <w:pPr>
              <w:jc w:val="center"/>
              <w:rPr>
                <w:b/>
              </w:rPr>
            </w:pPr>
            <w:r>
              <w:rPr>
                <w:rFonts w:hint="eastAsia"/>
                <w:bCs/>
              </w:rPr>
              <w:t>关于付款</w:t>
            </w:r>
          </w:p>
        </w:tc>
        <w:tc>
          <w:tcPr>
            <w:tcW w:w="2892" w:type="dxa"/>
          </w:tcPr>
          <w:p>
            <w:pPr>
              <w:rPr>
                <w:b/>
              </w:rPr>
            </w:pPr>
            <w:r>
              <w:rPr>
                <w:rFonts w:hint="eastAsia"/>
                <w:bCs/>
              </w:rPr>
              <w:t>4.1</w:t>
            </w:r>
            <w:r>
              <w:rPr>
                <w:bCs/>
                <w:szCs w:val="21"/>
              </w:rPr>
              <w:t>预付款</w:t>
            </w:r>
            <w:r>
              <w:rPr>
                <w:rFonts w:hint="eastAsia"/>
                <w:bCs/>
                <w:szCs w:val="21"/>
              </w:rPr>
              <w:t>：签订合同后支付合同金额的3</w:t>
            </w:r>
            <w:r>
              <w:rPr>
                <w:bCs/>
                <w:szCs w:val="21"/>
              </w:rPr>
              <w:t>0</w:t>
            </w:r>
            <w:r>
              <w:rPr>
                <w:rFonts w:hint="eastAsia"/>
                <w:bCs/>
                <w:szCs w:val="21"/>
              </w:rPr>
              <w:t>%；</w:t>
            </w:r>
          </w:p>
        </w:tc>
        <w:tc>
          <w:tcPr>
            <w:tcW w:w="1155" w:type="dxa"/>
          </w:tcPr>
          <w:p>
            <w:pPr>
              <w:rPr>
                <w:rFonts w:hint="eastAsia"/>
                <w:bCs/>
              </w:rPr>
            </w:pPr>
          </w:p>
        </w:tc>
        <w:tc>
          <w:tcPr>
            <w:tcW w:w="663" w:type="dxa"/>
          </w:tcPr>
          <w:p>
            <w:pPr>
              <w:rPr>
                <w:rFonts w:hint="eastAsia"/>
                <w:bCs/>
              </w:rPr>
            </w:pPr>
          </w:p>
        </w:tc>
        <w:tc>
          <w:tcPr>
            <w:tcW w:w="837" w:type="dxa"/>
          </w:tcPr>
          <w:p>
            <w:pPr>
              <w:rPr>
                <w:rFonts w:hint="eastAsia"/>
                <w:bCs/>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pPr>
          </w:p>
        </w:tc>
        <w:tc>
          <w:tcPr>
            <w:tcW w:w="1566" w:type="dxa"/>
            <w:vMerge/>
            <w:vAlign w:val="center"/>
          </w:tcPr>
          <w:p>
            <w:pPr>
              <w:jc w:val="center"/>
              <w:rPr>
                <w:b/>
              </w:rPr>
            </w:pPr>
          </w:p>
        </w:tc>
        <w:tc>
          <w:tcPr>
            <w:tcW w:w="2892" w:type="dxa"/>
          </w:tcPr>
          <w:p>
            <w:pPr>
              <w:rPr>
                <w:rFonts w:hint="eastAsia"/>
              </w:rPr>
            </w:pPr>
            <w:r>
              <w:rPr>
                <w:rFonts w:hint="eastAsia"/>
              </w:rPr>
              <w:t>4.2乙方按照合同约定交付全部合同货物，甲方向乙方支付合同价款的</w:t>
            </w:r>
            <w:r>
              <w:rPr>
                <w:rFonts w:hint="eastAsia"/>
                <w:lang w:val="en-US" w:eastAsia="zh-CN"/>
              </w:rPr>
              <w:t>65</w:t>
            </w:r>
            <w:r>
              <w:rPr>
                <w:rFonts w:hint="eastAsia"/>
              </w:rPr>
              <w:t>%。</w:t>
            </w:r>
          </w:p>
        </w:tc>
        <w:tc>
          <w:tcPr>
            <w:tcW w:w="1155" w:type="dxa"/>
          </w:tcPr>
          <w:p>
            <w:pPr>
              <w:rPr>
                <w:rFonts w:hint="eastAsia"/>
              </w:rPr>
            </w:pPr>
          </w:p>
        </w:tc>
        <w:tc>
          <w:tcPr>
            <w:tcW w:w="663" w:type="dxa"/>
          </w:tcPr>
          <w:p>
            <w:pPr>
              <w:rPr>
                <w:rFonts w:hint="eastAsia"/>
              </w:rPr>
            </w:pPr>
          </w:p>
        </w:tc>
        <w:tc>
          <w:tcPr>
            <w:tcW w:w="837" w:type="dxa"/>
          </w:tcPr>
          <w:p>
            <w:pPr>
              <w:rPr>
                <w:rFonts w:hint="eastAsia"/>
              </w:rPr>
            </w:pPr>
          </w:p>
        </w:tc>
      </w:tr>
      <w:tr>
        <w:tblPrEx>
          <w:tblW w:w="8331" w:type="dxa"/>
          <w:tblInd w:w="0" w:type="dxa"/>
          <w:tblLayout w:type="fixed"/>
          <w:tblCellMar>
            <w:top w:w="0" w:type="dxa"/>
            <w:left w:w="108" w:type="dxa"/>
            <w:bottom w:w="0" w:type="dxa"/>
            <w:right w:w="108" w:type="dxa"/>
          </w:tblCellMar>
        </w:tblPrEx>
        <w:trPr>
          <w:trHeight w:val="350"/>
        </w:trPr>
        <w:tc>
          <w:tcPr>
            <w:tcW w:w="1218" w:type="dxa"/>
            <w:vMerge/>
            <w:vAlign w:val="center"/>
          </w:tcPr>
          <w:p>
            <w:pPr>
              <w:jc w:val="center"/>
            </w:pPr>
          </w:p>
        </w:tc>
        <w:tc>
          <w:tcPr>
            <w:tcW w:w="1566" w:type="dxa"/>
            <w:vMerge/>
            <w:vAlign w:val="center"/>
          </w:tcPr>
          <w:p>
            <w:pPr>
              <w:jc w:val="center"/>
              <w:rPr>
                <w:b/>
              </w:rPr>
            </w:pPr>
          </w:p>
        </w:tc>
        <w:tc>
          <w:tcPr>
            <w:tcW w:w="2892" w:type="dxa"/>
          </w:tcPr>
          <w:p>
            <w:r>
              <w:rPr>
                <w:rFonts w:hint="eastAsia"/>
                <w:lang w:val="en-US" w:eastAsia="zh-CN"/>
              </w:rPr>
              <w:t xml:space="preserve">4.3 </w:t>
            </w:r>
            <w:r>
              <w:rPr>
                <w:rFonts w:hint="eastAsia"/>
              </w:rPr>
              <w:t>完成安装、调试并经甲方验收合格后</w:t>
            </w:r>
            <w:r>
              <w:rPr>
                <w:rFonts w:hint="eastAsia"/>
                <w:lang w:eastAsia="zh-CN"/>
              </w:rPr>
              <w:t>，</w:t>
            </w:r>
            <w:r>
              <w:rPr>
                <w:rFonts w:hint="eastAsia"/>
              </w:rPr>
              <w:t>甲方向乙方支付合同价款的</w:t>
            </w:r>
            <w:r>
              <w:rPr>
                <w:rFonts w:hint="eastAsia"/>
                <w:lang w:val="en-US" w:eastAsia="zh-CN"/>
              </w:rPr>
              <w:t>5</w:t>
            </w:r>
            <w:r>
              <w:rPr>
                <w:rFonts w:hint="eastAsia"/>
              </w:rPr>
              <w:t>%。</w:t>
            </w:r>
          </w:p>
        </w:tc>
        <w:tc>
          <w:tcPr>
            <w:tcW w:w="1155" w:type="dxa"/>
          </w:tcPr>
          <w:p>
            <w:pPr>
              <w:rPr>
                <w:rFonts w:hint="eastAsia"/>
                <w:lang w:val="en-US" w:eastAsia="zh-CN"/>
              </w:rPr>
            </w:pPr>
          </w:p>
        </w:tc>
        <w:tc>
          <w:tcPr>
            <w:tcW w:w="663" w:type="dxa"/>
          </w:tcPr>
          <w:p>
            <w:pPr>
              <w:rPr>
                <w:rFonts w:hint="eastAsia"/>
                <w:lang w:val="en-US" w:eastAsia="zh-CN"/>
              </w:rPr>
            </w:pPr>
          </w:p>
        </w:tc>
        <w:tc>
          <w:tcPr>
            <w:tcW w:w="837" w:type="dxa"/>
          </w:tcPr>
          <w:p>
            <w:pPr>
              <w:rPr>
                <w:rFonts w:hint="eastAsia"/>
                <w:lang w:val="en-US" w:eastAsia="zh-CN"/>
              </w:rPr>
            </w:pPr>
          </w:p>
        </w:tc>
      </w:tr>
    </w:tbl>
    <w:p>
      <w:pPr>
        <w:pStyle w:val="BodyText2"/>
        <w:rPr>
          <w:rFonts w:hint="eastAsia"/>
        </w:rPr>
      </w:pPr>
    </w:p>
    <w:p>
      <w:pPr>
        <w:ind w:firstLine="420" w:firstLineChars="200"/>
        <w:rPr>
          <w:rFonts w:hint="eastAsia"/>
          <w:b/>
          <w:sz w:val="24"/>
        </w:rPr>
      </w:pPr>
    </w:p>
    <w:p>
      <w:pPr>
        <w:ind w:firstLine="420" w:firstLineChars="200"/>
        <w:rPr>
          <w:rFonts w:hint="eastAsia"/>
          <w:b/>
          <w:sz w:val="24"/>
        </w:rPr>
      </w:pPr>
    </w:p>
    <w:p>
      <w:pPr>
        <w:ind w:firstLine="420" w:firstLineChars="200"/>
        <w:rPr>
          <w:b/>
          <w:sz w:val="24"/>
        </w:rPr>
      </w:pPr>
      <w:r>
        <w:rPr>
          <w:rFonts w:hint="eastAsia"/>
          <w:b/>
          <w:sz w:val="24"/>
        </w:rPr>
        <w:t>《商务要求偏离表》编制指引：</w:t>
      </w:r>
    </w:p>
    <w:p>
      <w:pPr>
        <w:ind w:firstLine="420" w:firstLineChars="200"/>
        <w:rPr>
          <w:b/>
          <w:sz w:val="24"/>
        </w:rPr>
      </w:pPr>
      <w:r>
        <w:rPr>
          <w:rFonts w:hint="eastAsia"/>
          <w:b/>
          <w:sz w:val="24"/>
        </w:rPr>
        <w:t>1、商务要求偏离表的序号、商务需求项、招标商务要求等栏目对应“用户需求书”中的“商务要求”章节相关内容。</w:t>
      </w:r>
    </w:p>
    <w:p>
      <w:pPr>
        <w:ind w:firstLine="420" w:firstLineChars="200"/>
        <w:rPr>
          <w:b/>
          <w:sz w:val="24"/>
        </w:rPr>
      </w:pPr>
      <w:r>
        <w:rPr>
          <w:b/>
          <w:sz w:val="24"/>
        </w:rPr>
        <w:t>2</w:t>
      </w:r>
      <w:r>
        <w:rPr>
          <w:rFonts w:hint="eastAsia"/>
          <w:b/>
          <w:sz w:val="24"/>
        </w:rPr>
        <w:t>、“投标商务响应”一栏必须一一对照“招标商务要求”，详细填写自身响应情况，以体现具体响应情况。</w:t>
      </w:r>
    </w:p>
    <w:p>
      <w:pPr>
        <w:ind w:firstLine="420" w:firstLineChars="200"/>
        <w:rPr>
          <w:color w:val="FF0000"/>
          <w:sz w:val="24"/>
        </w:rPr>
      </w:pPr>
      <w:r>
        <w:rPr>
          <w:b/>
          <w:sz w:val="24"/>
        </w:rPr>
        <w:t>3</w:t>
      </w:r>
      <w:r>
        <w:rPr>
          <w:rFonts w:hint="eastAsia"/>
          <w:b/>
          <w:sz w:val="24"/>
        </w:rPr>
        <w:t>、“偏离情况”一栏填写如实填写“正偏离”、“负偏离”或“无偏离”，其中：“正偏离”表示“投标响应优于招标商务要求”，“负偏离”表示“投标响应不满足招标商务要求”，“无偏离”表示“投标响应与招标商务要求一致”。</w:t>
      </w:r>
    </w:p>
    <w:p>
      <w:pPr>
        <w:rPr>
          <w:sz w:val="24"/>
        </w:rPr>
      </w:pPr>
      <w:r>
        <w:rPr>
          <w:rFonts w:hint="eastAsia"/>
          <w:b/>
          <w:sz w:val="24"/>
        </w:rPr>
        <w:t>“投标商务响应”对比“招标商务要求”存在响应不全（包括未响应整项招标商务要求或者未响应一项招标商务要求的部分内容），均视为“负偏离”。</w:t>
      </w:r>
    </w:p>
    <w:p>
      <w:pPr>
        <w:rPr>
          <w:b/>
          <w:bCs/>
          <w:sz w:val="24"/>
        </w:rPr>
      </w:pPr>
    </w:p>
    <w:p>
      <w:pPr>
        <w:outlineLvl w:val="3"/>
        <w:rPr>
          <w:rFonts w:ascii="黑体" w:eastAsia="黑体" w:hAnsi="宋体"/>
          <w:bCs/>
          <w:kern w:val="0"/>
          <w:sz w:val="24"/>
          <w:szCs w:val="32"/>
        </w:rPr>
      </w:pPr>
      <w:r>
        <w:rPr>
          <w:rFonts w:ascii="黑体" w:eastAsia="黑体" w:hint="eastAsia"/>
          <w:sz w:val="24"/>
          <w:szCs w:val="20"/>
        </w:rPr>
        <w:t>六、</w:t>
      </w:r>
      <w:r>
        <w:rPr>
          <w:rFonts w:ascii="黑体" w:eastAsia="黑体" w:hAnsi="宋体" w:hint="eastAsia"/>
          <w:bCs/>
          <w:kern w:val="0"/>
          <w:sz w:val="24"/>
          <w:szCs w:val="32"/>
        </w:rPr>
        <w:t>技术保障措施</w:t>
      </w:r>
    </w:p>
    <w:p>
      <w:pPr>
        <w:outlineLvl w:val="3"/>
        <w:rPr>
          <w:b/>
          <w:color w:val="FF0000"/>
          <w:sz w:val="22"/>
        </w:rPr>
      </w:pPr>
      <w:r>
        <w:rPr>
          <w:rFonts w:hint="eastAsia"/>
          <w:b/>
          <w:color w:val="FF0000"/>
          <w:sz w:val="22"/>
        </w:rPr>
        <w:t>（特别提示：投标人须按本招标文件评标信息中“技术保障措施”这一评审因素要求，提供证明资料）</w:t>
      </w:r>
    </w:p>
    <w:p>
      <w:pPr>
        <w:pStyle w:val="BodyText"/>
      </w:pPr>
    </w:p>
    <w:p>
      <w:pPr>
        <w:outlineLvl w:val="3"/>
        <w:rPr>
          <w:rFonts w:ascii="黑体" w:eastAsia="黑体" w:hAnsi="宋体"/>
          <w:bCs/>
          <w:kern w:val="0"/>
          <w:sz w:val="24"/>
          <w:szCs w:val="32"/>
        </w:rPr>
      </w:pPr>
      <w:r>
        <w:rPr>
          <w:rFonts w:ascii="黑体" w:eastAsia="黑体" w:hAnsi="宋体" w:hint="eastAsia"/>
          <w:bCs/>
          <w:kern w:val="0"/>
          <w:sz w:val="24"/>
          <w:szCs w:val="32"/>
          <w:lang w:val="en-US" w:eastAsia="zh-CN"/>
        </w:rPr>
        <w:t>七</w:t>
      </w:r>
      <w:r>
        <w:rPr>
          <w:rFonts w:ascii="黑体" w:eastAsia="黑体" w:hAnsi="宋体" w:hint="eastAsia"/>
          <w:bCs/>
          <w:kern w:val="0"/>
          <w:sz w:val="24"/>
          <w:szCs w:val="32"/>
        </w:rPr>
        <w:t>、投标人认为需要加以说明的其他内容（格式自定）</w:t>
      </w:r>
    </w:p>
    <w:p>
      <w:pPr>
        <w:rPr>
          <w:rFonts w:ascii="黑体" w:eastAsia="黑体" w:hAnsi="宋体"/>
          <w:sz w:val="24"/>
          <w:szCs w:val="20"/>
        </w:rPr>
      </w:pPr>
    </w:p>
    <w:p>
      <w:pPr>
        <w:rPr>
          <w:rFonts w:ascii="黑体" w:eastAsia="黑体" w:hAnsi="宋体"/>
          <w:sz w:val="24"/>
          <w:szCs w:val="20"/>
        </w:rPr>
      </w:pPr>
      <w:r>
        <w:rPr>
          <w:rFonts w:ascii="黑体" w:eastAsia="黑体" w:hAnsi="宋体" w:hint="eastAsia"/>
          <w:sz w:val="24"/>
          <w:szCs w:val="20"/>
        </w:rPr>
        <w:t>（1）政府采购违法行为风险知悉确认书</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本公司在投标前已充分知悉以下情形为参与政府采购活动时的重大风险事项，并承诺已对下述风险提示事项重点排查，做到严谨、诚信、依法依规参与政府采购活动。</w:t>
      </w:r>
    </w:p>
    <w:p>
      <w:pPr>
        <w:ind w:firstLine="420" w:firstLineChars="200"/>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（一）通过转让或者租借等方式从其他单位获取资格或者资质证书投标的。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（二）由其他单位或者其他单位负责人在投标供应商编制的投标文件上加盖印章或者签字的。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（三）项目负责人或者主要技术人员不是本单位人员的。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（四）投标保证金不是从投标供应商基本账户转出的。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（五）其他隐瞒真实情况、提供虚假资料的行为。</w:t>
      </w:r>
    </w:p>
    <w:p>
      <w:pPr>
        <w:ind w:firstLine="420" w:firstLineChars="200"/>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（一）投标供应商之间相互约定给予未中标的供应商利益补偿。</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（二）不同投标供应商的法定代表人、主要经营负责人、项目投标授权代表人、项目负责人、主要技术人员为同一人、属同一单位或者在同一单位缴纳社会保险。</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（三）不同投标供应商的投标文件由同一单位或者同一人编制，或者由同一人分阶段参与编制的。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（四）不同投标供应商的投标文件或部分投标文件相互混装。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（五）不同投标供应商的投标文件内容存在非正常一致。</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（六）由同一单位工作人员为两家以上（含两家）供应商进行同一项投标活动的。</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（七）不同投标人的投标报价呈规律性差异。</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（八）不同投标人的投标保证金从同一单位或者个人的账户转出。</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（九）主管部门依照法律、法规认定的其他情形。</w:t>
      </w:r>
    </w:p>
    <w:p>
      <w:pPr>
        <w:ind w:firstLine="420" w:firstLineChars="200"/>
        <w:rPr>
          <w:b/>
          <w:bCs/>
          <w:szCs w:val="21"/>
        </w:rPr>
      </w:pPr>
      <w:r>
        <w:rPr>
          <w:rFonts w:ascii="宋体" w:hAnsi="宋体" w:hint="eastAsia"/>
          <w:b/>
          <w:bCs/>
          <w:szCs w:val="21"/>
        </w:rPr>
        <w:t>三、本公司已充分知悉下列情形所对应的法律风险，并在投标前已对相关风险事项进行排查。</w:t>
      </w:r>
    </w:p>
    <w:p>
      <w:pPr>
        <w:autoSpaceDE w:val="0"/>
        <w:autoSpaceDN w:val="0"/>
        <w:spacing w:line="400" w:lineRule="exact"/>
        <w:ind w:firstLine="420" w:firstLineChars="200"/>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（二）对于涉及国家机关出具的公文、证件、证明材料等文件，一旦涉嫌虚假，经查实，主管部门将依法从严处理，并移送有关部门追究法律责任；涉嫌犯罪的，主管部门将一并移送司法机关追究法律责任。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（三）对于涉及安全生产、特种作业、抢险救灾、防疫等政府采购项目，供应商实施提供虚假资料、串通投标等违法行为的，主管部门将依法从严处理。</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pStyle w:val="NormalWeb"/>
        <w:autoSpaceDE w:val="0"/>
        <w:autoSpaceDN w:val="0"/>
        <w:spacing w:beforeAutospacing="0" w:afterAutospacing="0" w:line="400" w:lineRule="exact"/>
        <w:ind w:firstLine="420" w:firstLineChars="200"/>
        <w:rPr>
          <w:rFonts w:ascii="宋体" w:hAnsi="宋体"/>
          <w:spacing w:val="-4"/>
          <w:sz w:val="21"/>
          <w:szCs w:val="21"/>
        </w:rPr>
      </w:pPr>
      <w:r>
        <w:rPr>
          <w:rFonts w:ascii="宋体" w:hAnsi="宋体" w:hint="eastAsia"/>
          <w:spacing w:val="-4"/>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pStyle w:val="NormalWeb"/>
        <w:autoSpaceDE w:val="0"/>
        <w:autoSpaceDN w:val="0"/>
        <w:spacing w:beforeAutospacing="0" w:afterAutospacing="0" w:line="400" w:lineRule="exact"/>
        <w:ind w:firstLine="420" w:firstLineChars="200"/>
        <w:rPr>
          <w:b/>
          <w:bCs/>
          <w:sz w:val="21"/>
          <w:szCs w:val="21"/>
        </w:rPr>
      </w:pPr>
      <w:r>
        <w:rPr>
          <w:rFonts w:ascii="宋体" w:hAnsi="宋体" w:hint="eastAsia"/>
          <w:b/>
          <w:bCs/>
          <w:sz w:val="21"/>
          <w:szCs w:val="21"/>
        </w:rPr>
        <w:t>四、本公司已充分知悉政府采购违法、违规行为的法律后果。</w:t>
      </w:r>
    </w:p>
    <w:p>
      <w:pPr>
        <w:pStyle w:val="NormalWeb"/>
        <w:autoSpaceDE w:val="0"/>
        <w:autoSpaceDN w:val="0"/>
        <w:spacing w:beforeAutospacing="0" w:afterAutospacing="0" w:line="400" w:lineRule="exact"/>
        <w:ind w:firstLine="420" w:firstLineChars="200"/>
        <w:rPr>
          <w:rFonts w:ascii="宋体" w:hAnsi="宋体"/>
          <w:b/>
          <w:bCs/>
          <w:spacing w:val="-4"/>
          <w:sz w:val="21"/>
          <w:szCs w:val="21"/>
        </w:rPr>
      </w:pPr>
      <w:r>
        <w:rPr>
          <w:rFonts w:ascii="宋体" w:hAnsi="宋体" w:hint="eastAsia"/>
          <w:spacing w:val="-4"/>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TableGrid"/>
        <w:tblW w:w="8529"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
      <w:tblGrid>
        <w:gridCol w:w="8529"/>
      </w:tblGrid>
      <w:tr>
        <w:tblPrEx>
          <w:tblW w:w="8529" w:type="dxa"/>
          <w:tblInd w:w="0" w:type="dxa"/>
          <w:tblBorders>
            <w:top w:val="nil"/>
            <w:left w:val="nil"/>
            <w:bottom w:val="single" w:sz="4" w:space="0" w:color="auto"/>
            <w:right w:val="nil"/>
            <w:insideH w:val="nil"/>
            <w:insideV w:val="nil"/>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pStyle w:val="NormalWeb"/>
              <w:autoSpaceDE w:val="0"/>
              <w:autoSpaceDN w:val="0"/>
              <w:spacing w:beforeAutospacing="0" w:afterAutospacing="0" w:line="400" w:lineRule="exact"/>
              <w:rPr>
                <w:rFonts w:ascii="宋体" w:hAnsi="宋体"/>
                <w:spacing w:val="-4"/>
                <w:sz w:val="21"/>
                <w:szCs w:val="21"/>
              </w:rPr>
            </w:pPr>
          </w:p>
        </w:tc>
      </w:tr>
      <w:tr>
        <w:tblPrEx>
          <w:tblW w:w="8529" w:type="dxa"/>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pStyle w:val="NormalWeb"/>
              <w:autoSpaceDE w:val="0"/>
              <w:autoSpaceDN w:val="0"/>
              <w:spacing w:beforeAutospacing="0" w:afterAutospacing="0" w:line="400" w:lineRule="exact"/>
              <w:rPr>
                <w:rFonts w:ascii="宋体" w:hAnsi="宋体"/>
                <w:spacing w:val="-4"/>
                <w:sz w:val="21"/>
                <w:szCs w:val="21"/>
              </w:rPr>
            </w:pPr>
          </w:p>
        </w:tc>
      </w:tr>
    </w:tbl>
    <w:p>
      <w:pPr>
        <w:pStyle w:val="NormalWeb"/>
        <w:autoSpaceDE w:val="0"/>
        <w:autoSpaceDN w:val="0"/>
        <w:spacing w:beforeAutospacing="0" w:afterAutospacing="0" w:line="400" w:lineRule="exact"/>
        <w:ind w:firstLine="420" w:firstLineChars="200"/>
        <w:rPr>
          <w:rFonts w:ascii="宋体" w:hAnsi="宋体"/>
          <w:b/>
          <w:bCs/>
          <w:color w:val="FF0000"/>
          <w:spacing w:val="-4"/>
          <w:sz w:val="21"/>
          <w:szCs w:val="21"/>
        </w:rPr>
      </w:pPr>
      <w:r>
        <w:rPr>
          <w:rFonts w:ascii="宋体" w:hAnsi="宋体" w:hint="eastAsia"/>
          <w:b/>
          <w:bCs/>
          <w:color w:val="FF0000"/>
          <w:spacing w:val="-4"/>
          <w:sz w:val="21"/>
          <w:szCs w:val="21"/>
        </w:rPr>
        <w:t>注：1.政府采购违法行为风险知悉确认书不作为资格性审查及符合性审查条件。</w:t>
      </w:r>
    </w:p>
    <w:p>
      <w:pPr>
        <w:pStyle w:val="NormalWeb"/>
        <w:autoSpaceDE w:val="0"/>
        <w:autoSpaceDN w:val="0"/>
        <w:spacing w:beforeAutospacing="0" w:afterAutospacing="0" w:line="400" w:lineRule="exact"/>
        <w:ind w:firstLine="420" w:firstLineChars="200"/>
        <w:rPr>
          <w:rFonts w:ascii="宋体" w:hAnsi="宋体"/>
          <w:color w:val="FF0000"/>
          <w:spacing w:val="-4"/>
          <w:sz w:val="21"/>
          <w:szCs w:val="21"/>
        </w:rPr>
      </w:pPr>
      <w:r>
        <w:rPr>
          <w:rFonts w:ascii="宋体" w:hAnsi="宋体" w:hint="eastAsia"/>
          <w:b/>
          <w:bCs/>
          <w:color w:val="FF0000"/>
          <w:spacing w:val="-4"/>
          <w:sz w:val="21"/>
          <w:szCs w:val="21"/>
        </w:rPr>
        <w:t>2.投标供应商负责人或投标授权代表签字并加盖单位公章后，扫描上传至投标文件一并提交。</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负责人/投标授权代表签名：     </w:t>
      </w:r>
    </w:p>
    <w:p>
      <w:pPr>
        <w:pStyle w:val="NormalWeb"/>
        <w:wordWrap w:val="0"/>
        <w:autoSpaceDE w:val="0"/>
        <w:autoSpaceDN w:val="0"/>
        <w:spacing w:beforeAutospacing="0" w:afterAutospacing="0" w:line="400" w:lineRule="exact"/>
        <w:ind w:firstLine="420" w:firstLineChars="200"/>
        <w:jc w:val="right"/>
        <w:rPr>
          <w:rFonts w:ascii="宋体" w:hAnsi="宋体"/>
          <w:spacing w:val="-4"/>
          <w:sz w:val="21"/>
          <w:szCs w:val="21"/>
        </w:rPr>
      </w:pPr>
      <w:r>
        <w:rPr>
          <w:rFonts w:ascii="宋体" w:hAnsi="宋体" w:hint="eastAsia"/>
          <w:spacing w:val="-4"/>
          <w:sz w:val="21"/>
          <w:szCs w:val="21"/>
        </w:rPr>
        <w:t xml:space="preserve">知悉人（公章）：     </w:t>
      </w:r>
    </w:p>
    <w:p>
      <w:pPr>
        <w:pStyle w:val="NormalWeb"/>
        <w:wordWrap w:val="0"/>
        <w:autoSpaceDE w:val="0"/>
        <w:autoSpaceDN w:val="0"/>
        <w:spacing w:beforeAutospacing="0" w:afterAutospacing="0" w:line="400" w:lineRule="exact"/>
        <w:ind w:firstLine="420" w:firstLineChars="200"/>
        <w:jc w:val="right"/>
      </w:pPr>
      <w:r>
        <w:rPr>
          <w:rFonts w:ascii="宋体" w:hAnsi="宋体" w:hint="eastAsia"/>
          <w:spacing w:val="-4"/>
          <w:sz w:val="21"/>
          <w:szCs w:val="21"/>
        </w:rPr>
        <w:t xml:space="preserve">日期：     </w:t>
      </w:r>
    </w:p>
    <w:p>
      <w:pPr>
        <w:pStyle w:val="BodyText"/>
      </w:pPr>
    </w:p>
    <w:p>
      <w:pPr>
        <w:rPr>
          <w:rFonts w:ascii="黑体" w:eastAsia="黑体" w:hAnsi="宋体"/>
          <w:sz w:val="24"/>
          <w:szCs w:val="20"/>
        </w:rPr>
      </w:pPr>
      <w:r>
        <w:rPr>
          <w:rFonts w:ascii="黑体" w:eastAsia="黑体" w:hAnsi="宋体" w:hint="eastAsia"/>
          <w:sz w:val="24"/>
          <w:szCs w:val="20"/>
        </w:rPr>
        <w:t>（2）投标人认为需要加以说明的其他内容</w:t>
      </w:r>
    </w:p>
    <w:p>
      <w:pPr>
        <w:rPr>
          <w:b/>
          <w:sz w:val="22"/>
        </w:rPr>
      </w:pPr>
    </w:p>
    <w:p>
      <w:pPr>
        <w:rPr>
          <w:b/>
          <w:sz w:val="22"/>
        </w:rPr>
      </w:pPr>
      <w:r>
        <w:rPr>
          <w:rFonts w:hint="eastAsia"/>
          <w:b/>
          <w:sz w:val="22"/>
        </w:rPr>
        <w:br w:type="page"/>
      </w:r>
    </w:p>
    <w:p>
      <w:pPr>
        <w:pStyle w:val="Heading2"/>
      </w:pPr>
      <w:r>
        <w:rPr>
          <w:rFonts w:hint="eastAsia"/>
        </w:rPr>
        <w:t>第五章  合同条款及格式</w:t>
      </w:r>
    </w:p>
    <w:p>
      <w:pPr>
        <w:ind w:firstLine="412" w:firstLineChars="196"/>
      </w:pPr>
    </w:p>
    <w:p>
      <w:pPr>
        <w:jc w:val="center"/>
      </w:pPr>
      <w:bookmarkStart w:id="75" w:name="_Hlk72574405"/>
      <w:bookmarkStart w:id="76" w:name="_Hlk72260917"/>
      <w:r>
        <w:rPr>
          <w:rFonts w:hint="eastAsia"/>
          <w:b/>
          <w:sz w:val="24"/>
        </w:rPr>
        <w:t>（仅供参考，具体以项目需求及采购结果为准）</w:t>
      </w:r>
      <w:bookmarkEnd w:id="75"/>
    </w:p>
    <w:p>
      <w:pPr>
        <w:rPr>
          <w:rFonts w:ascii="宋体" w:hAnsi="宋体"/>
          <w:b/>
          <w:bCs/>
          <w:szCs w:val="21"/>
        </w:rPr>
      </w:pPr>
      <w:r>
        <w:rPr>
          <w:rFonts w:ascii="宋体" w:hAnsi="宋体" w:hint="eastAsia"/>
          <w:b/>
          <w:bCs/>
          <w:szCs w:val="21"/>
        </w:rPr>
        <w:t>甲方：</w:t>
      </w:r>
    </w:p>
    <w:p>
      <w:pPr>
        <w:rPr>
          <w:rFonts w:ascii="宋体" w:hAnsi="宋体"/>
          <w:szCs w:val="21"/>
        </w:rPr>
      </w:pPr>
      <w:bookmarkStart w:id="77" w:name="_Hlk75014453"/>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b/>
          <w:bCs/>
          <w:szCs w:val="21"/>
        </w:rPr>
      </w:pPr>
      <w:r>
        <w:rPr>
          <w:rFonts w:ascii="宋体" w:hAnsi="宋体" w:hint="eastAsia"/>
          <w:szCs w:val="21"/>
        </w:rPr>
        <w:t>联系电话：</w:t>
      </w:r>
      <w:bookmarkEnd w:id="77"/>
    </w:p>
    <w:p>
      <w:pPr>
        <w:rPr>
          <w:rFonts w:ascii="宋体" w:hAnsi="宋体"/>
          <w:b/>
          <w:bCs/>
          <w:szCs w:val="21"/>
        </w:rPr>
      </w:pPr>
    </w:p>
    <w:p>
      <w:pPr>
        <w:rPr>
          <w:rFonts w:ascii="宋体" w:hAnsi="宋体"/>
          <w:b/>
          <w:bCs/>
          <w:szCs w:val="21"/>
        </w:rPr>
      </w:pPr>
      <w:r>
        <w:rPr>
          <w:rFonts w:ascii="宋体" w:hAnsi="宋体" w:hint="eastAsia"/>
          <w:b/>
          <w:bCs/>
          <w:szCs w:val="21"/>
        </w:rPr>
        <w:t>乙方：</w:t>
      </w:r>
      <w:bookmarkEnd w:id="76"/>
    </w:p>
    <w:p>
      <w:pPr>
        <w:rPr>
          <w:rFonts w:ascii="宋体" w:hAnsi="宋体"/>
          <w:szCs w:val="21"/>
        </w:rPr>
      </w:pPr>
      <w:r>
        <w:rPr>
          <w:rFonts w:ascii="宋体" w:hAnsi="宋体" w:hint="eastAsia"/>
          <w:szCs w:val="21"/>
        </w:rPr>
        <w:t>地址：</w:t>
      </w:r>
    </w:p>
    <w:p>
      <w:pPr>
        <w:rPr>
          <w:rFonts w:ascii="宋体" w:hAnsi="宋体"/>
          <w:szCs w:val="21"/>
        </w:rPr>
      </w:pPr>
      <w:r>
        <w:rPr>
          <w:rFonts w:ascii="宋体" w:hAnsi="宋体" w:hint="eastAsia"/>
          <w:szCs w:val="21"/>
        </w:rPr>
        <w:t>联系人：</w:t>
      </w:r>
    </w:p>
    <w:p>
      <w:pPr>
        <w:rPr>
          <w:rFonts w:ascii="宋体" w:hAnsi="宋体"/>
          <w:szCs w:val="21"/>
        </w:rPr>
      </w:pPr>
      <w:r>
        <w:rPr>
          <w:rFonts w:ascii="宋体" w:hAnsi="宋体" w:hint="eastAsia"/>
          <w:szCs w:val="21"/>
        </w:rPr>
        <w:t>联系电话：</w:t>
      </w:r>
    </w:p>
    <w:p>
      <w:pPr>
        <w:rPr>
          <w:rFonts w:ascii="宋体" w:hAnsi="宋体"/>
          <w:szCs w:val="21"/>
        </w:rPr>
      </w:pPr>
    </w:p>
    <w:p>
      <w:pPr>
        <w:spacing w:line="360" w:lineRule="auto"/>
        <w:ind w:firstLine="560"/>
        <w:jc w:val="left"/>
        <w:rPr>
          <w:szCs w:val="21"/>
        </w:rPr>
      </w:pPr>
      <w:bookmarkStart w:id="78" w:name="_Hlk72574434"/>
      <w:r>
        <w:rPr>
          <w:rFonts w:hint="eastAsia"/>
          <w:szCs w:val="21"/>
        </w:rPr>
        <w:t>根据深圳公共资源交易中心（深圳交易集团有限公司政府采购业务分公司）号项目结果，</w:t>
      </w:r>
      <w:r>
        <w:rPr>
          <w:rFonts w:ascii="宋体" w:hAnsi="宋体" w:hint="eastAsia"/>
          <w:szCs w:val="21"/>
        </w:rPr>
        <w:t>*</w:t>
      </w:r>
      <w:r>
        <w:rPr>
          <w:rFonts w:ascii="宋体" w:hAnsi="宋体"/>
          <w:szCs w:val="21"/>
        </w:rPr>
        <w:t>**</w:t>
      </w:r>
      <w:r>
        <w:rPr>
          <w:rFonts w:ascii="宋体" w:hAnsi="宋体" w:hint="eastAsia"/>
          <w:szCs w:val="21"/>
        </w:rPr>
        <w:t>单位为中标人</w:t>
      </w:r>
      <w:r>
        <w:rPr>
          <w:rFonts w:hint="eastAsia"/>
          <w:szCs w:val="21"/>
        </w:rPr>
        <w:t>。</w:t>
      </w:r>
      <w:bookmarkEnd w:id="78"/>
      <w:r>
        <w:rPr>
          <w:rFonts w:hint="eastAsia"/>
          <w:szCs w:val="21"/>
        </w:rPr>
        <w:t>按照《中华人民共和国民法典》（第三编 合同）和《深圳经济特区政府采购条例》，经深圳市（以下简称甲方）和单位（以下简称乙方）协商，达成以下合同条款：</w:t>
      </w:r>
    </w:p>
    <w:p>
      <w:pPr>
        <w:spacing w:line="360" w:lineRule="auto"/>
        <w:ind w:firstLine="560"/>
        <w:jc w:val="left"/>
        <w:outlineLvl w:val="0"/>
        <w:rPr>
          <w:b/>
          <w:szCs w:val="21"/>
        </w:rPr>
      </w:pPr>
      <w:r>
        <w:rPr>
          <w:rFonts w:hint="eastAsia"/>
          <w:b/>
          <w:szCs w:val="21"/>
        </w:rPr>
        <w:t>第一条  合同标的</w:t>
      </w:r>
    </w:p>
    <w:p>
      <w:pPr>
        <w:spacing w:line="360" w:lineRule="auto"/>
        <w:ind w:firstLine="560"/>
        <w:jc w:val="left"/>
        <w:rPr>
          <w:szCs w:val="21"/>
        </w:rPr>
      </w:pPr>
      <w:r>
        <w:rPr>
          <w:rFonts w:hint="eastAsia"/>
          <w:szCs w:val="21"/>
        </w:rPr>
        <w:t>乙方根据甲方需求提供下列货物：</w:t>
      </w:r>
    </w:p>
    <w:p>
      <w:pPr>
        <w:spacing w:line="360" w:lineRule="auto"/>
        <w:ind w:firstLine="560"/>
        <w:jc w:val="left"/>
        <w:rPr>
          <w:szCs w:val="21"/>
        </w:rPr>
      </w:pPr>
      <w:r>
        <w:rPr>
          <w:rFonts w:hint="eastAsia"/>
          <w:szCs w:val="21"/>
        </w:rPr>
        <w:t>货物名称、规格及数量详见。</w:t>
      </w:r>
    </w:p>
    <w:p>
      <w:pPr>
        <w:spacing w:line="360" w:lineRule="auto"/>
        <w:ind w:firstLine="560"/>
        <w:jc w:val="left"/>
        <w:outlineLvl w:val="0"/>
        <w:rPr>
          <w:b/>
          <w:szCs w:val="21"/>
        </w:rPr>
      </w:pPr>
      <w:r>
        <w:rPr>
          <w:rFonts w:hint="eastAsia"/>
          <w:b/>
          <w:szCs w:val="21"/>
        </w:rPr>
        <w:t>第二条  合同价款</w:t>
      </w:r>
    </w:p>
    <w:p>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pPr>
        <w:numPr>
          <w:ilvl w:val="0"/>
          <w:numId w:val="7"/>
        </w:numPr>
        <w:spacing w:line="360" w:lineRule="auto"/>
        <w:ind w:firstLine="560"/>
        <w:jc w:val="left"/>
        <w:outlineLvl w:val="0"/>
        <w:rPr>
          <w:b/>
          <w:szCs w:val="21"/>
        </w:rPr>
      </w:pPr>
      <w:r>
        <w:rPr>
          <w:rFonts w:hint="eastAsia"/>
          <w:b/>
          <w:szCs w:val="21"/>
        </w:rPr>
        <w:t>履行期限</w:t>
      </w:r>
    </w:p>
    <w:p>
      <w:pPr>
        <w:spacing w:line="360" w:lineRule="auto"/>
        <w:ind w:firstLine="560"/>
        <w:jc w:val="left"/>
        <w:rPr>
          <w:b/>
          <w:szCs w:val="21"/>
        </w:rPr>
      </w:pPr>
      <w:r>
        <w:rPr>
          <w:rFonts w:hint="eastAsia"/>
          <w:bCs/>
          <w:szCs w:val="21"/>
        </w:rPr>
        <w:t>乙方应于本合同签订之日其日内将符合要求的产品向甲方交付（含安装调试），但乙方交付前应向书面通知甲方并征得甲方同意。</w:t>
      </w:r>
    </w:p>
    <w:p>
      <w:pPr>
        <w:numPr>
          <w:ilvl w:val="0"/>
          <w:numId w:val="7"/>
        </w:numPr>
        <w:spacing w:line="360" w:lineRule="auto"/>
        <w:ind w:firstLine="560"/>
        <w:jc w:val="left"/>
        <w:outlineLvl w:val="0"/>
        <w:rPr>
          <w:b/>
          <w:szCs w:val="21"/>
        </w:rPr>
      </w:pPr>
      <w:r>
        <w:rPr>
          <w:rFonts w:hint="eastAsia"/>
          <w:b/>
          <w:szCs w:val="21"/>
        </w:rPr>
        <w:t>权利保证</w:t>
      </w:r>
    </w:p>
    <w:p>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spacing w:line="360" w:lineRule="auto"/>
        <w:ind w:firstLine="560"/>
        <w:jc w:val="left"/>
        <w:outlineLvl w:val="0"/>
        <w:rPr>
          <w:b/>
          <w:szCs w:val="21"/>
        </w:rPr>
      </w:pPr>
      <w:r>
        <w:rPr>
          <w:rFonts w:hint="eastAsia"/>
          <w:b/>
          <w:szCs w:val="21"/>
        </w:rPr>
        <w:t>第五条  质量保证</w:t>
      </w:r>
    </w:p>
    <w:p>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pPr>
        <w:spacing w:line="360" w:lineRule="auto"/>
        <w:ind w:firstLine="560"/>
        <w:jc w:val="left"/>
        <w:rPr>
          <w:b/>
          <w:szCs w:val="21"/>
        </w:rPr>
      </w:pPr>
      <w:r>
        <w:rPr>
          <w:rFonts w:hint="eastAsia"/>
          <w:b/>
          <w:szCs w:val="21"/>
        </w:rPr>
        <w:t>第六条  交货和验收</w:t>
      </w:r>
    </w:p>
    <w:p>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spacing w:line="360" w:lineRule="auto"/>
        <w:ind w:firstLine="560"/>
        <w:jc w:val="left"/>
        <w:rPr>
          <w:rFonts w:ascii="宋体" w:hAnsi="宋体"/>
          <w:szCs w:val="21"/>
        </w:rPr>
      </w:pPr>
      <w:r>
        <w:rPr>
          <w:rFonts w:ascii="宋体" w:hAnsi="宋体" w:hint="eastAsia"/>
          <w:szCs w:val="21"/>
        </w:rPr>
        <w:t>4、乙方应在到货（安装、调试完）后  日内向甲方发出验收申请。甲方应当在收到申请  日内组织验收，验收合格的，由甲方向乙方签署货物验收单。验收合格的，由甲方向乙方签署货物验收单。甲方逾期未组织验收，也未提出异议的，视为验收合格。需要安装调试的，安装调试完毕验收合格后才视为最终验收合格和满足付款条件。</w:t>
      </w:r>
    </w:p>
    <w:p>
      <w:pPr>
        <w:spacing w:line="360" w:lineRule="auto"/>
        <w:ind w:firstLine="560"/>
        <w:jc w:val="left"/>
        <w:rPr>
          <w:rFonts w:ascii="宋体" w:hAnsi="宋体"/>
          <w:szCs w:val="21"/>
        </w:rPr>
      </w:pPr>
      <w:r>
        <w:rPr>
          <w:rFonts w:ascii="宋体" w:hAnsi="宋体" w:hint="eastAsia"/>
          <w:szCs w:val="21"/>
        </w:rPr>
        <w:t>5、货物的所有权和灭失的风险自乙方将货物交付给甲方时转移。</w:t>
      </w:r>
    </w:p>
    <w:p>
      <w:pPr>
        <w:spacing w:line="360" w:lineRule="auto"/>
        <w:ind w:firstLine="560"/>
        <w:jc w:val="left"/>
        <w:outlineLvl w:val="0"/>
        <w:rPr>
          <w:b/>
          <w:szCs w:val="21"/>
        </w:rPr>
      </w:pPr>
      <w:r>
        <w:rPr>
          <w:rFonts w:hint="eastAsia"/>
          <w:b/>
          <w:szCs w:val="21"/>
        </w:rPr>
        <w:t>第七条  保修及其他服务</w:t>
      </w:r>
    </w:p>
    <w:p>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pPr>
        <w:spacing w:line="360" w:lineRule="auto"/>
        <w:ind w:firstLine="560"/>
        <w:jc w:val="left"/>
        <w:rPr>
          <w:rFonts w:ascii="宋体" w:hAnsi="宋体"/>
          <w:szCs w:val="21"/>
        </w:rPr>
      </w:pPr>
      <w:r>
        <w:rPr>
          <w:rFonts w:ascii="宋体" w:hAnsi="宋体" w:hint="eastAsia"/>
          <w:szCs w:val="21"/>
        </w:rPr>
        <w:t>3、在甲方提出维修要求后，乙方应于  小时内响应，  小时维修到位，并在  小时内消除故障。消耗品和零配件供应及时，特殊情况下可提供备用机。</w:t>
      </w:r>
    </w:p>
    <w:p>
      <w:pPr>
        <w:spacing w:line="360" w:lineRule="auto"/>
        <w:ind w:firstLine="560"/>
        <w:jc w:val="left"/>
        <w:outlineLvl w:val="0"/>
        <w:rPr>
          <w:b/>
          <w:szCs w:val="21"/>
        </w:rPr>
      </w:pPr>
      <w:r>
        <w:rPr>
          <w:rFonts w:hint="eastAsia"/>
          <w:b/>
          <w:szCs w:val="21"/>
        </w:rPr>
        <w:t>第八条 保密条款</w:t>
      </w:r>
    </w:p>
    <w:p>
      <w:pPr>
        <w:spacing w:line="360" w:lineRule="auto"/>
        <w:ind w:firstLine="420" w:firstLineChars="200"/>
        <w:jc w:val="left"/>
        <w:rPr>
          <w:bCs/>
          <w:szCs w:val="21"/>
        </w:rPr>
      </w:pPr>
      <w:r>
        <w:rPr>
          <w:bCs/>
          <w:szCs w:val="21"/>
        </w:rPr>
        <w:t>1</w:t>
      </w:r>
      <w:r>
        <w:rPr>
          <w:rFonts w:hint="eastAsia"/>
          <w:bCs/>
          <w:szCs w:val="21"/>
        </w:rPr>
        <w:t>、乙方对在本合同履行中获取或者知悉甲方提供的资料、信息负有保密义务。</w:t>
      </w:r>
    </w:p>
    <w:p>
      <w:pPr>
        <w:spacing w:line="360" w:lineRule="auto"/>
        <w:ind w:firstLine="560"/>
        <w:jc w:val="left"/>
        <w:rPr>
          <w:bCs/>
          <w:szCs w:val="21"/>
        </w:rPr>
      </w:pPr>
      <w:r>
        <w:rPr>
          <w:bCs/>
          <w:szCs w:val="21"/>
        </w:rPr>
        <w:t>2</w:t>
      </w:r>
      <w:r>
        <w:rPr>
          <w:rFonts w:hint="eastAsia"/>
          <w:bCs/>
          <w:szCs w:val="21"/>
        </w:rPr>
        <w:t>、乙方不得私自复印、留存、泄漏本合同履行有关的资料、信息。除非依照法律规定或者经甲方书面同意，乙方不得向第三方提供或披露由甲方提供的资料和信息，也不得用于本合同履行以外的其他用途，并保证采取一切合理和必要的措施防止任何第三方接触到甲方的上述资料和信息。</w:t>
      </w:r>
    </w:p>
    <w:p>
      <w:pPr>
        <w:spacing w:line="360" w:lineRule="auto"/>
        <w:ind w:firstLine="560"/>
        <w:jc w:val="left"/>
        <w:rPr>
          <w:b/>
          <w:szCs w:val="21"/>
        </w:rPr>
      </w:pPr>
      <w:r>
        <w:rPr>
          <w:bCs/>
          <w:szCs w:val="21"/>
        </w:rPr>
        <w:t>3</w:t>
      </w:r>
      <w:r>
        <w:rPr>
          <w:rFonts w:hint="eastAsia"/>
          <w:bCs/>
          <w:szCs w:val="21"/>
        </w:rPr>
        <w:t>、保密期限自本协议签订生效之日起至保密信息被依法公开披露或成为公开信息之日止。合同中止、终止或者解除不视为免除保密义务，乙方仍应当承担保密义务。</w:t>
      </w:r>
    </w:p>
    <w:p>
      <w:pPr>
        <w:spacing w:line="360" w:lineRule="auto"/>
        <w:ind w:firstLine="560"/>
        <w:jc w:val="left"/>
        <w:outlineLvl w:val="0"/>
        <w:rPr>
          <w:b/>
          <w:szCs w:val="21"/>
        </w:rPr>
      </w:pPr>
      <w:r>
        <w:rPr>
          <w:rFonts w:hint="eastAsia"/>
          <w:b/>
          <w:szCs w:val="21"/>
        </w:rPr>
        <w:t>第九条  履约保证金</w:t>
      </w:r>
    </w:p>
    <w:p>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pPr>
        <w:numPr>
          <w:ilvl w:val="255"/>
          <w:numId w:val="0"/>
        </w:numPr>
        <w:spacing w:line="360" w:lineRule="auto"/>
        <w:ind w:firstLine="420" w:firstLineChars="200"/>
        <w:jc w:val="left"/>
        <w:outlineLvl w:val="0"/>
        <w:rPr>
          <w:b/>
          <w:szCs w:val="21"/>
        </w:rPr>
      </w:pPr>
      <w:r>
        <w:rPr>
          <w:rFonts w:hint="eastAsia"/>
          <w:b/>
          <w:szCs w:val="21"/>
        </w:rPr>
        <w:t>第十条  货款支付</w:t>
      </w:r>
    </w:p>
    <w:p>
      <w:pPr>
        <w:spacing w:line="360" w:lineRule="auto"/>
        <w:jc w:val="left"/>
        <w:rPr>
          <w:b/>
          <w:szCs w:val="21"/>
          <w:u w:val="single"/>
        </w:rPr>
      </w:pPr>
      <w:r>
        <w:rPr>
          <w:rFonts w:hint="eastAsia"/>
          <w:b/>
          <w:szCs w:val="21"/>
          <w:u w:val="single"/>
        </w:rPr>
        <w:t>（详见商务要求）</w:t>
      </w:r>
    </w:p>
    <w:p>
      <w:pPr>
        <w:spacing w:line="360" w:lineRule="auto"/>
        <w:ind w:firstLine="560"/>
        <w:jc w:val="left"/>
        <w:rPr>
          <w:szCs w:val="21"/>
        </w:rPr>
      </w:pPr>
    </w:p>
    <w:p>
      <w:pPr>
        <w:spacing w:line="360" w:lineRule="auto"/>
        <w:ind w:firstLine="420" w:firstLineChars="200"/>
        <w:jc w:val="left"/>
        <w:outlineLvl w:val="0"/>
        <w:rPr>
          <w:b/>
          <w:szCs w:val="21"/>
        </w:rPr>
      </w:pPr>
      <w:r>
        <w:rPr>
          <w:rFonts w:hint="eastAsia"/>
          <w:b/>
          <w:szCs w:val="21"/>
        </w:rPr>
        <w:t>第十一条 违约责任</w:t>
      </w:r>
      <w:r>
        <w:rPr>
          <w:rFonts w:hint="eastAsia"/>
          <w:b/>
          <w:szCs w:val="21"/>
          <w:u w:val="single"/>
        </w:rPr>
        <w:t>（详见商务要求）</w:t>
      </w:r>
    </w:p>
    <w:p>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pPr>
        <w:spacing w:line="360" w:lineRule="auto"/>
        <w:ind w:firstLine="560"/>
        <w:jc w:val="left"/>
        <w:rPr>
          <w:rFonts w:ascii="宋体" w:hAnsi="宋体"/>
          <w:szCs w:val="21"/>
        </w:rPr>
      </w:pPr>
      <w:r>
        <w:rPr>
          <w:rFonts w:ascii="宋体" w:hAnsi="宋体" w:hint="eastAsia"/>
          <w:szCs w:val="21"/>
        </w:rPr>
        <w:t>4、经甲方验收不合格的，甲方有权拒收。乙方经修理或者更换后仍不合格的，甲方有权解除合同，要求乙方返还甲方已支付的合同款项，并有权要求乙方按合同总额【】％支付违约金。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pPr>
        <w:spacing w:line="360" w:lineRule="auto"/>
        <w:ind w:firstLine="560"/>
        <w:jc w:val="left"/>
        <w:rPr>
          <w:rFonts w:ascii="宋体" w:hAnsi="宋体"/>
          <w:szCs w:val="21"/>
        </w:rPr>
      </w:pPr>
      <w:r>
        <w:rPr>
          <w:rFonts w:ascii="宋体" w:hAnsi="宋体" w:hint="eastAsia"/>
          <w:szCs w:val="21"/>
        </w:rPr>
        <w:t>6.</w:t>
      </w:r>
      <w:bookmarkStart w:id="79" w:name="_Hlk75014743"/>
      <w:r>
        <w:rPr>
          <w:rFonts w:ascii="宋体" w:hAnsi="宋体" w:hint="eastAsia"/>
          <w:szCs w:val="21"/>
        </w:rPr>
        <w:t>乙方违反本合同约定的保密义务，甲方有权要求乙方按合同总额【】%支付违约金；造成不良影响或对甲方造成损失的，甲方有权要求乙方消除影响，承担赔偿责任，并有权解除合同。</w:t>
      </w:r>
      <w:bookmarkEnd w:id="79"/>
    </w:p>
    <w:p>
      <w:pPr>
        <w:spacing w:line="360" w:lineRule="auto"/>
        <w:ind w:firstLine="560"/>
        <w:jc w:val="left"/>
        <w:rPr>
          <w:rFonts w:ascii="宋体" w:hAnsi="宋体"/>
          <w:szCs w:val="21"/>
        </w:rPr>
      </w:pPr>
      <w:r>
        <w:rPr>
          <w:rFonts w:ascii="宋体" w:hAnsi="宋体" w:hint="eastAsia"/>
          <w:szCs w:val="21"/>
        </w:rPr>
        <w:t>7、</w:t>
      </w:r>
      <w:bookmarkStart w:id="80" w:name="_Hlk75015079"/>
      <w:r>
        <w:rPr>
          <w:rFonts w:ascii="宋体" w:hAnsi="宋体" w:hint="eastAsia"/>
          <w:szCs w:val="21"/>
        </w:rPr>
        <w:t>因乙方提供的产品受到侵权指控或者引发法律纠纷，影响甲方正常使用或者导致合同目的不能实现的，甲方有权要求乙方按合同总额【】%支付违约金，并有权解除合同。</w:t>
      </w:r>
      <w:bookmarkEnd w:id="80"/>
    </w:p>
    <w:p>
      <w:pPr>
        <w:spacing w:line="360" w:lineRule="auto"/>
        <w:ind w:firstLine="560"/>
        <w:jc w:val="left"/>
        <w:rPr>
          <w:rFonts w:ascii="宋体" w:hAnsi="宋体"/>
          <w:szCs w:val="21"/>
        </w:rPr>
      </w:pPr>
      <w:r>
        <w:rPr>
          <w:rFonts w:ascii="宋体" w:hAnsi="宋体" w:hint="eastAsia"/>
          <w:szCs w:val="21"/>
        </w:rPr>
        <w:t>8、乙方未履行本合同项下的其他义务或违反其在投标文件中的相关承诺的，应按合同总价款的【】%向甲方承担违约责任。</w:t>
      </w:r>
    </w:p>
    <w:p>
      <w:pPr>
        <w:spacing w:line="360" w:lineRule="auto"/>
        <w:ind w:firstLine="560"/>
        <w:jc w:val="left"/>
        <w:rPr>
          <w:rFonts w:ascii="宋体" w:hAnsi="宋体"/>
          <w:szCs w:val="21"/>
        </w:rPr>
      </w:pPr>
      <w:r>
        <w:rPr>
          <w:rFonts w:ascii="宋体" w:hAnsi="宋体" w:hint="eastAsia"/>
          <w:szCs w:val="21"/>
        </w:rPr>
        <w:t>9、乙方在承担上述一项或多项违约责任后，仍应继续履行合同规定的义务（甲方解除合同的除外）。甲方未能及时追究乙方的任何一项违约责任并不表明甲方放弃追究乙方该项或其他违约责任。</w:t>
      </w:r>
    </w:p>
    <w:p>
      <w:pPr>
        <w:spacing w:line="360" w:lineRule="auto"/>
        <w:ind w:firstLine="560"/>
        <w:jc w:val="left"/>
        <w:outlineLvl w:val="0"/>
        <w:rPr>
          <w:b/>
          <w:szCs w:val="21"/>
        </w:rPr>
      </w:pPr>
      <w:r>
        <w:rPr>
          <w:rFonts w:hint="eastAsia"/>
          <w:b/>
          <w:szCs w:val="21"/>
        </w:rPr>
        <w:t>第十条    合同的变更和终止</w:t>
      </w:r>
    </w:p>
    <w:p>
      <w:pPr>
        <w:spacing w:line="360" w:lineRule="auto"/>
        <w:ind w:firstLine="560"/>
        <w:jc w:val="left"/>
        <w:rPr>
          <w:rFonts w:ascii="宋体" w:hAnsi="宋体"/>
          <w:szCs w:val="21"/>
        </w:rPr>
      </w:pPr>
      <w:r>
        <w:rPr>
          <w:rFonts w:ascii="宋体" w:hAnsi="宋体" w:hint="eastAsia"/>
          <w:szCs w:val="21"/>
        </w:rPr>
        <w:t>除</w:t>
      </w:r>
      <w:bookmarkStart w:id="81" w:name="_Hlk75015119"/>
      <w:r>
        <w:rPr>
          <w:rFonts w:ascii="宋体" w:hAnsi="宋体" w:hint="eastAsia"/>
          <w:szCs w:val="21"/>
        </w:rPr>
        <w:t>《深圳经济特区政府采购条例》第40条、</w:t>
      </w:r>
      <w:bookmarkEnd w:id="81"/>
      <w:r>
        <w:rPr>
          <w:rFonts w:ascii="宋体" w:hAnsi="宋体" w:hint="eastAsia"/>
          <w:szCs w:val="21"/>
        </w:rPr>
        <w:t>《中华人民共和国政府采购法》第50条第二款规定或者主管部门另有政策规定的情形外，本合同一经签订，甲乙双方不得擅自变更、中止或终止合同。</w:t>
      </w:r>
    </w:p>
    <w:p>
      <w:pPr>
        <w:spacing w:line="360" w:lineRule="auto"/>
        <w:ind w:firstLine="560"/>
        <w:jc w:val="left"/>
        <w:outlineLvl w:val="0"/>
        <w:rPr>
          <w:b/>
          <w:szCs w:val="21"/>
        </w:rPr>
      </w:pPr>
      <w:r>
        <w:rPr>
          <w:rFonts w:hint="eastAsia"/>
          <w:b/>
          <w:szCs w:val="21"/>
        </w:rPr>
        <w:t>第十一条   争议的解决</w:t>
      </w:r>
    </w:p>
    <w:p>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pPr>
        <w:spacing w:line="360" w:lineRule="auto"/>
        <w:ind w:firstLine="560"/>
        <w:jc w:val="left"/>
        <w:outlineLvl w:val="0"/>
        <w:rPr>
          <w:b/>
          <w:szCs w:val="21"/>
        </w:rPr>
      </w:pPr>
      <w:r>
        <w:rPr>
          <w:rFonts w:hint="eastAsia"/>
          <w:b/>
          <w:szCs w:val="21"/>
        </w:rPr>
        <w:t>第十二条   合同生效及其他</w:t>
      </w:r>
    </w:p>
    <w:p>
      <w:pPr>
        <w:spacing w:line="360" w:lineRule="auto"/>
        <w:ind w:firstLine="560"/>
        <w:jc w:val="left"/>
        <w:rPr>
          <w:rFonts w:ascii="宋体" w:hAnsi="宋体"/>
          <w:szCs w:val="21"/>
        </w:rPr>
      </w:pPr>
      <w:r>
        <w:rPr>
          <w:rFonts w:ascii="宋体" w:hAnsi="宋体" w:hint="eastAsia"/>
          <w:szCs w:val="21"/>
        </w:rPr>
        <w:t>1、下列文件均为本合同的组成部分：</w:t>
      </w:r>
    </w:p>
    <w:p>
      <w:pPr>
        <w:spacing w:line="360" w:lineRule="auto"/>
        <w:ind w:firstLine="560"/>
        <w:jc w:val="left"/>
        <w:rPr>
          <w:rFonts w:ascii="宋体" w:hAnsi="宋体"/>
          <w:szCs w:val="21"/>
        </w:rPr>
      </w:pPr>
      <w:r>
        <w:rPr>
          <w:rFonts w:ascii="宋体" w:hAnsi="宋体" w:hint="eastAsia"/>
          <w:szCs w:val="21"/>
        </w:rPr>
        <w:t>（1）号招标文件、答疑及补充通知；</w:t>
      </w:r>
    </w:p>
    <w:p>
      <w:pPr>
        <w:spacing w:line="360" w:lineRule="auto"/>
        <w:ind w:firstLine="560"/>
        <w:jc w:val="left"/>
        <w:rPr>
          <w:rFonts w:ascii="宋体" w:hAnsi="宋体"/>
          <w:szCs w:val="21"/>
        </w:rPr>
      </w:pPr>
      <w:r>
        <w:rPr>
          <w:rFonts w:ascii="宋体" w:hAnsi="宋体" w:hint="eastAsia"/>
          <w:szCs w:val="21"/>
        </w:rPr>
        <w:t>（2）乙方的投标文件；</w:t>
      </w:r>
    </w:p>
    <w:p>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pPr>
        <w:spacing w:line="360" w:lineRule="auto"/>
        <w:ind w:firstLine="560"/>
        <w:jc w:val="left"/>
        <w:rPr>
          <w:rFonts w:ascii="宋体" w:hAnsi="宋体"/>
          <w:szCs w:val="21"/>
        </w:rPr>
      </w:pPr>
    </w:p>
    <w:p>
      <w:pPr>
        <w:spacing w:line="360" w:lineRule="auto"/>
        <w:ind w:firstLine="560"/>
        <w:jc w:val="left"/>
        <w:rPr>
          <w:rFonts w:ascii="宋体" w:hAnsi="宋体"/>
          <w:szCs w:val="21"/>
        </w:rPr>
      </w:pPr>
    </w:p>
    <w:p>
      <w:pPr>
        <w:spacing w:line="360" w:lineRule="auto"/>
        <w:ind w:firstLine="560"/>
        <w:jc w:val="left"/>
        <w:rPr>
          <w:rFonts w:ascii="宋体" w:hAnsi="宋体"/>
          <w:szCs w:val="21"/>
        </w:rPr>
      </w:pPr>
      <w:r>
        <w:rPr>
          <w:rFonts w:ascii="宋体" w:hAnsi="宋体" w:hint="eastAsia"/>
          <w:szCs w:val="21"/>
        </w:rPr>
        <w:t>甲方（采购人）：   （盖章）       乙方（供应商）：    （盖章）</w:t>
      </w:r>
    </w:p>
    <w:p>
      <w:pPr>
        <w:spacing w:line="360" w:lineRule="auto"/>
        <w:ind w:firstLine="560"/>
        <w:jc w:val="left"/>
        <w:rPr>
          <w:rFonts w:ascii="宋体" w:hAnsi="宋体"/>
          <w:szCs w:val="21"/>
        </w:rPr>
      </w:pPr>
      <w:r>
        <w:rPr>
          <w:rFonts w:ascii="宋体" w:hAnsi="宋体" w:hint="eastAsia"/>
          <w:szCs w:val="21"/>
        </w:rPr>
        <w:t xml:space="preserve">法定代表人：                     法定代表人： </w:t>
      </w:r>
    </w:p>
    <w:p>
      <w:pPr>
        <w:spacing w:line="360" w:lineRule="auto"/>
        <w:ind w:firstLine="560"/>
        <w:jc w:val="left"/>
        <w:rPr>
          <w:rFonts w:ascii="宋体" w:hAnsi="宋体"/>
          <w:szCs w:val="21"/>
        </w:rPr>
      </w:pPr>
      <w:r>
        <w:rPr>
          <w:rFonts w:ascii="宋体" w:hAnsi="宋体" w:hint="eastAsia"/>
          <w:szCs w:val="21"/>
        </w:rPr>
        <w:t>委托代理人：                     委托代理人：</w:t>
      </w:r>
    </w:p>
    <w:p>
      <w:pPr>
        <w:ind w:firstLine="525" w:firstLineChars="250"/>
        <w:rPr>
          <w:rFonts w:ascii="宋体" w:hAnsi="宋体"/>
          <w:b/>
          <w:szCs w:val="21"/>
        </w:rPr>
      </w:pPr>
      <w:r>
        <w:rPr>
          <w:rFonts w:ascii="宋体" w:hAnsi="宋体" w:hint="eastAsia"/>
          <w:szCs w:val="21"/>
        </w:rPr>
        <w:t>日期：   年     月    日         日期：   年     月    日</w:t>
      </w:r>
    </w:p>
    <w:p/>
    <w:p>
      <w:pPr>
        <w:widowControl/>
        <w:jc w:val="left"/>
        <w:rPr>
          <w:rFonts w:ascii="宋体" w:hAnsi="宋体"/>
          <w:szCs w:val="21"/>
        </w:rPr>
      </w:pPr>
      <w:r>
        <w:rPr>
          <w:rFonts w:ascii="宋体" w:hAnsi="宋体"/>
          <w:szCs w:val="21"/>
        </w:rPr>
        <w:br w:type="page"/>
      </w:r>
    </w:p>
    <w:p>
      <w:pPr>
        <w:pStyle w:val="Heading2"/>
        <w:spacing w:before="120" w:beforeLines="50" w:after="120" w:afterLines="50"/>
        <w:ind w:left="562"/>
        <w:rPr>
          <w:sz w:val="28"/>
          <w:szCs w:val="28"/>
        </w:rPr>
      </w:pPr>
      <w:r>
        <w:rPr>
          <w:rFonts w:hint="eastAsia"/>
          <w:sz w:val="28"/>
          <w:szCs w:val="28"/>
        </w:rPr>
        <w:t>第二册  通用条款（公开招标）</w:t>
      </w:r>
    </w:p>
    <w:p>
      <w:pPr>
        <w:pStyle w:val="Heading2"/>
        <w:numPr>
          <w:ilvl w:val="0"/>
          <w:numId w:val="8"/>
        </w:numPr>
        <w:spacing w:before="120" w:beforeLines="50" w:after="120" w:afterLines="50"/>
        <w:ind w:left="562" w:hanging="562"/>
        <w:rPr>
          <w:sz w:val="28"/>
          <w:szCs w:val="28"/>
        </w:rPr>
      </w:pPr>
      <w:bookmarkStart w:id="82" w:name="_Hlk72399513"/>
      <w:r>
        <w:rPr>
          <w:rFonts w:hint="eastAsia"/>
          <w:sz w:val="28"/>
          <w:szCs w:val="28"/>
        </w:rPr>
        <w:t>总则</w:t>
      </w:r>
    </w:p>
    <w:p>
      <w:pPr>
        <w:outlineLvl w:val="1"/>
        <w:rPr>
          <w:rFonts w:ascii="黑体" w:eastAsia="黑体" w:hAnsi="宋体"/>
          <w:sz w:val="24"/>
        </w:rPr>
      </w:pPr>
      <w:bookmarkEnd w:id="82"/>
      <w:r>
        <w:rPr>
          <w:rFonts w:ascii="黑体" w:eastAsia="黑体" w:hAnsi="宋体" w:hint="eastAsia"/>
          <w:sz w:val="24"/>
        </w:rPr>
        <w:t>1. 通用条款说明</w:t>
      </w:r>
    </w:p>
    <w:p>
      <w:pPr>
        <w:ind w:firstLine="412" w:firstLineChars="196"/>
        <w:rPr>
          <w:rFonts w:ascii="宋体" w:hAnsi="宋体"/>
          <w:szCs w:val="21"/>
        </w:rPr>
      </w:pPr>
      <w:r>
        <w:rPr>
          <w:rFonts w:ascii="宋体" w:hAnsi="宋体" w:hint="eastAsia"/>
          <w:szCs w:val="21"/>
        </w:rPr>
        <w:t>1.1政府集中采购机构发出招标文件通用条款版本，列出深圳市政府采购项目进行招标采购所适用的通用条款内容。</w:t>
      </w:r>
      <w:bookmarkStart w:id="83" w:name="_Hlk72399729"/>
      <w:r>
        <w:rPr>
          <w:rFonts w:ascii="宋体" w:hAnsi="宋体" w:hint="eastAsia"/>
          <w:szCs w:val="21"/>
        </w:rPr>
        <w:t>如有需要，政府集中采购机构可以对通用条款的内容进行补充。</w:t>
      </w:r>
      <w:bookmarkEnd w:id="83"/>
    </w:p>
    <w:p>
      <w:pPr>
        <w:ind w:firstLine="412" w:firstLineChars="196"/>
        <w:rPr>
          <w:rFonts w:ascii="宋体" w:hAnsi="宋体"/>
          <w:szCs w:val="21"/>
        </w:rPr>
      </w:pPr>
      <w:r>
        <w:rPr>
          <w:rFonts w:ascii="宋体" w:hAnsi="宋体" w:hint="eastAsia"/>
          <w:szCs w:val="21"/>
        </w:rPr>
        <w:t>1.2招标文件分为第一册“专用条款”和第二册“通用条款”。</w:t>
      </w:r>
    </w:p>
    <w:p>
      <w:pPr>
        <w:ind w:firstLine="412" w:firstLineChars="196"/>
        <w:rPr>
          <w:rFonts w:ascii="宋体" w:hAnsi="宋体"/>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pPr>
        <w:ind w:firstLine="412" w:firstLineChars="196"/>
        <w:rPr>
          <w:rFonts w:ascii="宋体" w:hAnsi="宋体"/>
          <w:szCs w:val="21"/>
        </w:rPr>
      </w:pPr>
      <w:r>
        <w:rPr>
          <w:rFonts w:ascii="宋体" w:hAnsi="宋体" w:hint="eastAsia"/>
          <w:szCs w:val="21"/>
        </w:rPr>
        <w:t>1.4“通用条款”是适用于政府采购公开招标项目的基础性条款，具有普遍性和通用性。</w:t>
      </w:r>
    </w:p>
    <w:p>
      <w:pPr>
        <w:ind w:firstLine="412" w:firstLineChars="196"/>
        <w:rPr>
          <w:rFonts w:ascii="宋体" w:hAnsi="宋体"/>
          <w:szCs w:val="21"/>
        </w:rPr>
      </w:pPr>
      <w:r>
        <w:rPr>
          <w:rFonts w:ascii="宋体" w:hAnsi="宋体" w:hint="eastAsia"/>
          <w:szCs w:val="21"/>
        </w:rPr>
        <w:t>1.5 “专用条款”和“通用条款”表述不一致或有冲突时，以“专用条款”为准。</w:t>
      </w:r>
    </w:p>
    <w:p>
      <w:pPr>
        <w:outlineLvl w:val="1"/>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pPr>
        <w:ind w:firstLine="412" w:firstLineChars="196"/>
        <w:rPr>
          <w:rFonts w:ascii="宋体" w:hAnsi="宋体"/>
          <w:szCs w:val="21"/>
        </w:rPr>
      </w:pPr>
      <w:r>
        <w:rPr>
          <w:rFonts w:ascii="宋体" w:hAnsi="宋体" w:hint="eastAsia"/>
          <w:szCs w:val="21"/>
        </w:rPr>
        <w:t>本项目按照《深圳经济特区政府采购条例》、《深圳经济特区政府采购条例实施细则》及政府采购其他法律法规，通过公开招标方式确定中标供应商。</w:t>
      </w:r>
    </w:p>
    <w:p>
      <w:pPr>
        <w:outlineLvl w:val="1"/>
        <w:rPr>
          <w:rFonts w:ascii="黑体" w:eastAsia="黑体" w:hAnsi="宋体"/>
          <w:sz w:val="24"/>
        </w:rPr>
      </w:pPr>
      <w:r>
        <w:rPr>
          <w:rFonts w:ascii="黑体" w:eastAsia="黑体" w:hAnsi="宋体" w:hint="eastAsia"/>
          <w:sz w:val="24"/>
        </w:rPr>
        <w:t>3．定义</w:t>
      </w:r>
    </w:p>
    <w:p>
      <w:pPr>
        <w:ind w:firstLine="420" w:firstLineChars="200"/>
        <w:rPr>
          <w:rFonts w:ascii="宋体" w:hAnsi="宋体"/>
          <w:szCs w:val="21"/>
        </w:rPr>
      </w:pPr>
      <w:r>
        <w:rPr>
          <w:rFonts w:ascii="宋体" w:hAnsi="宋体"/>
          <w:szCs w:val="21"/>
        </w:rPr>
        <w:t>招标文件中下列术语应解释为：</w:t>
      </w:r>
    </w:p>
    <w:p>
      <w:pPr>
        <w:ind w:firstLine="412" w:firstLineChars="196"/>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“采购人”：指利用财政性资金依法进行政府采购的国家机关、事业单位、团体组织；</w:t>
      </w:r>
    </w:p>
    <w:p>
      <w:pPr>
        <w:ind w:firstLine="412" w:firstLineChars="196"/>
        <w:rPr>
          <w:rFonts w:ascii="宋体" w:hAnsi="宋体"/>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是指市政府设立的，组织实施政府采购项目，并对政府采购活动提供服务的专门机构；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pPr>
        <w:ind w:firstLine="412" w:firstLineChars="196"/>
        <w:rPr>
          <w:rFonts w:ascii="宋体" w:hAnsi="宋体"/>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pPr>
        <w:ind w:firstLine="412" w:firstLineChars="196"/>
        <w:rPr>
          <w:rFonts w:ascii="宋体" w:hAnsi="宋体"/>
          <w:szCs w:val="21"/>
        </w:rPr>
      </w:pPr>
      <w:r>
        <w:rPr>
          <w:rFonts w:ascii="宋体" w:hAnsi="宋体" w:hint="eastAsia"/>
          <w:szCs w:val="21"/>
        </w:rPr>
        <w:t>3.4“中标候选人”即“候选中标供应商”</w:t>
      </w:r>
    </w:p>
    <w:p>
      <w:pPr>
        <w:ind w:firstLine="412" w:firstLineChars="196"/>
        <w:rPr>
          <w:rFonts w:ascii="宋体" w:hAnsi="宋体"/>
          <w:szCs w:val="21"/>
        </w:rPr>
      </w:pPr>
      <w:r>
        <w:rPr>
          <w:rFonts w:ascii="宋体" w:hAnsi="宋体" w:hint="eastAsia"/>
          <w:szCs w:val="21"/>
        </w:rPr>
        <w:t>3.5“评审委员会”是依据《深圳经济特区政府采购条例》、《深圳经济特区政府采购条例实施细则》等有关规定组建的专门负责本次招标其评审工作的临时性机构；</w:t>
      </w:r>
    </w:p>
    <w:p>
      <w:pPr>
        <w:ind w:firstLine="412" w:firstLineChars="196"/>
        <w:rPr>
          <w:rFonts w:ascii="宋体" w:hAnsi="宋体"/>
          <w:szCs w:val="21"/>
        </w:rPr>
      </w:pPr>
      <w:r>
        <w:rPr>
          <w:rFonts w:ascii="宋体" w:hAnsi="宋体" w:hint="eastAsia"/>
          <w:szCs w:val="21"/>
        </w:rPr>
        <w:t>3.6“日期”</w:t>
      </w:r>
      <w:r>
        <w:rPr>
          <w:rFonts w:ascii="宋体" w:hAnsi="宋体"/>
          <w:szCs w:val="21"/>
        </w:rPr>
        <w:t>指</w:t>
      </w:r>
      <w:r>
        <w:rPr>
          <w:rFonts w:ascii="宋体" w:hAnsi="宋体" w:hint="eastAsia"/>
          <w:szCs w:val="21"/>
        </w:rPr>
        <w:t>公历日；</w:t>
      </w:r>
    </w:p>
    <w:p>
      <w:pPr>
        <w:ind w:firstLine="412" w:firstLineChars="196"/>
        <w:rPr>
          <w:rFonts w:ascii="宋体" w:hAnsi="宋体"/>
          <w:szCs w:val="21"/>
        </w:rPr>
      </w:pPr>
      <w:r>
        <w:rPr>
          <w:rFonts w:ascii="宋体" w:hAnsi="宋体" w:hint="eastAsia"/>
          <w:szCs w:val="21"/>
        </w:rPr>
        <w:t>3.7“合同”指由本次招标所产生的合同或合约文件；</w:t>
      </w:r>
    </w:p>
    <w:p>
      <w:pPr>
        <w:suppressAutoHyphens/>
        <w:wordWrap w:val="0"/>
        <w:ind w:firstLine="412" w:firstLineChars="196"/>
        <w:rPr>
          <w:rFonts w:ascii="宋体" w:hAnsi="宋体"/>
          <w:szCs w:val="21"/>
        </w:rPr>
      </w:pPr>
      <w:r>
        <w:rPr>
          <w:rFonts w:ascii="宋体" w:hAnsi="宋体" w:hint="eastAsia"/>
          <w:szCs w:val="21"/>
        </w:rPr>
        <w:t>3.8“电子投标文件”指利用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w:t>
      </w:r>
      <w:r>
        <w:rPr>
          <w:rFonts w:ascii="宋体" w:hAnsi="宋体" w:hint="eastAsia"/>
        </w:rPr>
        <w:t>深圳智慧采购平台投标文件制作专用软件（以下简称：投标文件制作软件）制作并</w:t>
      </w:r>
      <w:r>
        <w:rPr>
          <w:rFonts w:ascii="宋体" w:hAnsi="宋体" w:hint="eastAsia"/>
          <w:szCs w:val="21"/>
        </w:rPr>
        <w:t>加密的投标文件,适用于网上投标；（投标文件制作软件可从</w:t>
      </w:r>
      <w:r>
        <w:rPr>
          <w:rFonts w:hint="eastAsia"/>
        </w:rPr>
        <w:t>“</w:t>
      </w:r>
      <w:r>
        <w:rPr>
          <w:rFonts w:ascii="宋体" w:hAnsi="宋体" w:hint="eastAsia"/>
        </w:rPr>
        <w:t>下载地址：</w:t>
      </w:r>
      <w:r>
        <w:rPr>
          <w:rFonts w:hint="eastAsia"/>
        </w:rPr>
        <w:t>http://zfcg.szggzy.com:8081/cgxy/013002/20210923/173e0b2c-7a4c-4246-a0c7-e0ea75d84dd6.html”</w:t>
      </w:r>
      <w:r>
        <w:rPr>
          <w:rFonts w:ascii="宋体" w:hAnsi="宋体" w:hint="eastAsia"/>
          <w:szCs w:val="21"/>
        </w:rPr>
        <w:t>下载）；</w:t>
      </w:r>
    </w:p>
    <w:p>
      <w:pPr>
        <w:ind w:firstLine="412" w:firstLineChars="196"/>
        <w:rPr>
          <w:rFonts w:ascii="宋体" w:hAnsi="宋体"/>
          <w:szCs w:val="21"/>
        </w:rPr>
      </w:pPr>
      <w:r>
        <w:rPr>
          <w:rFonts w:ascii="宋体" w:hAnsi="宋体" w:hint="eastAsia"/>
          <w:szCs w:val="21"/>
        </w:rPr>
        <w:t>3.9“网上投标”指通过</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网站上传电子投标文件；</w:t>
      </w:r>
    </w:p>
    <w:p>
      <w:pPr>
        <w:ind w:firstLine="412" w:firstLineChars="196"/>
        <w:rPr>
          <w:rFonts w:ascii="宋体" w:hAnsi="宋体"/>
          <w:szCs w:val="21"/>
        </w:rPr>
      </w:pPr>
      <w:r>
        <w:rPr>
          <w:rFonts w:ascii="宋体" w:hAnsi="宋体" w:hint="eastAsia"/>
          <w:szCs w:val="21"/>
        </w:rPr>
        <w:t>3.10招标文件中的标题或题名仅起引导作用，而不应视为对招标文件内容的理解和解释。</w:t>
      </w:r>
    </w:p>
    <w:p>
      <w:pPr>
        <w:outlineLvl w:val="1"/>
        <w:rPr>
          <w:rFonts w:ascii="黑体" w:eastAsia="黑体" w:hAnsi="宋体"/>
          <w:sz w:val="24"/>
        </w:rPr>
      </w:pPr>
      <w:r>
        <w:rPr>
          <w:rFonts w:ascii="黑体" w:eastAsia="黑体" w:hAnsi="宋体" w:hint="eastAsia"/>
          <w:sz w:val="24"/>
        </w:rPr>
        <w:t xml:space="preserve">4. </w:t>
      </w:r>
      <w:bookmarkStart w:id="84" w:name="_Hlk72398643"/>
      <w:r>
        <w:rPr>
          <w:rFonts w:ascii="黑体" w:eastAsia="黑体" w:hAnsi="宋体" w:hint="eastAsia"/>
          <w:sz w:val="24"/>
        </w:rPr>
        <w:t>政府采购供应商责任</w:t>
      </w:r>
    </w:p>
    <w:p>
      <w:pPr>
        <w:ind w:firstLine="412" w:firstLineChars="196"/>
        <w:rPr>
          <w:rFonts w:ascii="宋体" w:hAnsi="宋体"/>
          <w:szCs w:val="21"/>
        </w:rPr>
      </w:pPr>
      <w:r>
        <w:rPr>
          <w:rFonts w:ascii="宋体" w:hAnsi="宋体" w:hint="eastAsia"/>
          <w:szCs w:val="21"/>
        </w:rPr>
        <w:t>4.1欢迎诚信、有实力和有社会责任心的供应商参与政府采购事业。</w:t>
      </w:r>
    </w:p>
    <w:p>
      <w:pPr>
        <w:ind w:firstLine="412" w:firstLineChars="196"/>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pPr>
        <w:outlineLvl w:val="1"/>
        <w:rPr>
          <w:rFonts w:ascii="黑体" w:eastAsia="黑体" w:hAnsi="宋体"/>
          <w:sz w:val="24"/>
        </w:rPr>
      </w:pPr>
      <w:r>
        <w:rPr>
          <w:rFonts w:ascii="黑体" w:eastAsia="黑体" w:hAnsi="宋体" w:hint="eastAsia"/>
          <w:sz w:val="24"/>
        </w:rPr>
        <w:t>5．投标人参加政府采购的条件</w:t>
      </w:r>
    </w:p>
    <w:p>
      <w:pPr>
        <w:ind w:firstLine="412" w:firstLineChars="196"/>
        <w:rPr>
          <w:rFonts w:ascii="宋体" w:hAnsi="宋体"/>
          <w:szCs w:val="21"/>
        </w:rPr>
      </w:pPr>
      <w:r>
        <w:rPr>
          <w:rFonts w:ascii="宋体" w:hAnsi="宋体" w:hint="eastAsia"/>
          <w:szCs w:val="21"/>
        </w:rPr>
        <w:t>5.1投标人应在投标前到</w:t>
      </w:r>
      <w:r>
        <w:rPr>
          <w:rFonts w:ascii="宋体" w:hAnsi="宋体" w:hint="eastAsia"/>
          <w:b/>
          <w:bCs/>
          <w:szCs w:val="21"/>
        </w:rPr>
        <w:t>深圳公共资源交易中心（具体在深圳交易集团有限公司政府采购业务分公司进行办理）</w:t>
      </w:r>
      <w:r>
        <w:rPr>
          <w:rFonts w:ascii="宋体" w:hAnsi="宋体" w:hint="eastAsia"/>
          <w:szCs w:val="21"/>
        </w:rPr>
        <w:t>进行注册并办理电子密钥。《</w:t>
      </w:r>
      <w:r>
        <w:fldChar w:fldCharType="begin"/>
      </w:r>
      <w:r>
        <w:instrText xml:space="preserve"> HYPERLINK "file:///C:\\Users\\xiuziwong\\Desktop\\模板\\供应商注册及信息变更指引" </w:instrText>
      </w:r>
      <w:r>
        <w:fldChar w:fldCharType="separate"/>
      </w:r>
      <w:r>
        <w:rPr>
          <w:rStyle w:val="Hyperlink"/>
          <w:rFonts w:ascii="宋体" w:hAnsi="宋体"/>
          <w:szCs w:val="21"/>
        </w:rPr>
        <w:t>供应商注册及信息变更指引</w:t>
      </w:r>
      <w:r>
        <w:rPr>
          <w:rStyle w:val="Hyperlink"/>
          <w:rFonts w:ascii="宋体" w:hAnsi="宋体"/>
          <w:szCs w:val="21"/>
        </w:rPr>
        <w:fldChar w:fldCharType="end"/>
      </w:r>
      <w:r>
        <w:rPr>
          <w:rFonts w:ascii="宋体" w:hAnsi="宋体" w:hint="eastAsia"/>
          <w:szCs w:val="21"/>
        </w:rPr>
        <w:t>》详见</w:t>
      </w:r>
      <w:r>
        <w:rPr>
          <w:rFonts w:hint="eastAsia"/>
        </w:rPr>
        <w:t>http://zfcg.szggzy.com:8081/</w:t>
      </w:r>
      <w:r>
        <w:rPr>
          <w:rFonts w:ascii="宋体" w:hAnsi="宋体" w:hint="eastAsia"/>
          <w:szCs w:val="21"/>
        </w:rPr>
        <w:t>。</w:t>
      </w:r>
    </w:p>
    <w:p>
      <w:pPr>
        <w:ind w:firstLine="412" w:firstLineChars="196"/>
        <w:rPr>
          <w:rFonts w:ascii="宋体" w:hAnsi="宋体"/>
          <w:szCs w:val="21"/>
        </w:rPr>
      </w:pPr>
      <w:r>
        <w:rPr>
          <w:rFonts w:ascii="宋体" w:hAnsi="宋体" w:hint="eastAsia"/>
          <w:szCs w:val="21"/>
        </w:rPr>
        <w:t>5.2投标人资格要求</w:t>
      </w:r>
    </w:p>
    <w:p>
      <w:pPr>
        <w:ind w:firstLine="412" w:firstLineChars="196"/>
        <w:rPr>
          <w:rFonts w:ascii="宋体" w:hAnsi="宋体"/>
          <w:szCs w:val="21"/>
        </w:rPr>
      </w:pPr>
      <w:r>
        <w:rPr>
          <w:rFonts w:ascii="宋体" w:hAnsi="宋体" w:hint="eastAsia"/>
          <w:szCs w:val="21"/>
        </w:rPr>
        <w:t>参加本项目的投标人应具备的资格条件详见本项目招标公告中 “投标人资格要求”（即申请人的资格要求）的内容。</w:t>
      </w:r>
    </w:p>
    <w:p>
      <w:pPr>
        <w:ind w:firstLine="412" w:firstLineChars="196"/>
        <w:rPr>
          <w:rFonts w:ascii="宋体" w:hAnsi="宋体"/>
          <w:szCs w:val="21"/>
        </w:rPr>
      </w:pPr>
      <w:r>
        <w:rPr>
          <w:rFonts w:ascii="宋体" w:hAnsi="宋体" w:hint="eastAsia"/>
          <w:szCs w:val="21"/>
        </w:rPr>
        <w:t>5.3联合体投标</w:t>
      </w:r>
    </w:p>
    <w:p>
      <w:pPr>
        <w:ind w:firstLine="412" w:firstLineChars="196"/>
        <w:rPr>
          <w:rFonts w:ascii="宋体" w:hAnsi="宋体"/>
          <w:szCs w:val="21"/>
        </w:rPr>
      </w:pPr>
      <w:r>
        <w:rPr>
          <w:rFonts w:ascii="宋体" w:hAnsi="宋体" w:hint="eastAsia"/>
          <w:szCs w:val="21"/>
        </w:rPr>
        <w:t>5.3.1　以下有关联合体投标的条款仅适用于允许投标人组成联合体投标的项目。</w:t>
      </w:r>
    </w:p>
    <w:p>
      <w:pPr>
        <w:ind w:firstLine="412" w:firstLineChars="196"/>
        <w:rPr>
          <w:rFonts w:ascii="宋体" w:hAnsi="宋体"/>
          <w:szCs w:val="21"/>
        </w:rPr>
      </w:pPr>
      <w:r>
        <w:rPr>
          <w:rFonts w:ascii="宋体" w:hAnsi="宋体" w:hint="eastAsia"/>
          <w:szCs w:val="21"/>
        </w:rPr>
        <w:t>5.3.2  由两个或两个以上的自然人、法人或者其他组织可以组成一个联合体，以一个供应商的身份共同投标时，应符合以下原则：</w:t>
      </w:r>
    </w:p>
    <w:p>
      <w:pPr>
        <w:ind w:firstLine="412" w:firstLineChars="196"/>
        <w:rPr>
          <w:rFonts w:ascii="宋体" w:hAnsi="宋体"/>
        </w:rPr>
      </w:pPr>
      <w:r>
        <w:rPr>
          <w:rFonts w:ascii="宋体" w:hAnsi="宋体" w:hint="eastAsia"/>
        </w:rPr>
        <w:t>（1）投标联合体各方参加政府采购活动应当具备下列条件：</w:t>
      </w:r>
    </w:p>
    <w:p>
      <w:pPr>
        <w:ind w:left="420" w:firstLine="412" w:leftChars="200" w:firstLineChars="196"/>
        <w:rPr>
          <w:rFonts w:ascii="宋体" w:hAnsi="宋体"/>
        </w:rPr>
      </w:pPr>
      <w:r>
        <w:rPr>
          <w:rFonts w:ascii="宋体" w:hAnsi="宋体" w:hint="eastAsia"/>
        </w:rPr>
        <w:t>1、具有独立承担民事责任的能力；</w:t>
      </w:r>
    </w:p>
    <w:p>
      <w:pPr>
        <w:ind w:left="420" w:firstLine="412" w:firstLineChars="196"/>
        <w:rPr>
          <w:rFonts w:ascii="宋体" w:hAnsi="宋体"/>
        </w:rPr>
      </w:pPr>
      <w:r>
        <w:rPr>
          <w:rFonts w:ascii="宋体" w:hAnsi="宋体" w:hint="eastAsia"/>
        </w:rPr>
        <w:t>2、有良好的商业信誉和健全的财务会计制度；</w:t>
      </w:r>
    </w:p>
    <w:p>
      <w:pPr>
        <w:ind w:left="420" w:firstLine="412" w:leftChars="200" w:firstLineChars="196"/>
        <w:rPr>
          <w:rFonts w:ascii="宋体" w:hAnsi="宋体"/>
        </w:rPr>
      </w:pPr>
      <w:r>
        <w:rPr>
          <w:rFonts w:ascii="宋体" w:hAnsi="宋体" w:hint="eastAsia"/>
        </w:rPr>
        <w:t>3、具有履行合同所必需的设备和专业技术能力；</w:t>
      </w:r>
    </w:p>
    <w:p>
      <w:pPr>
        <w:ind w:left="420" w:firstLine="412" w:leftChars="200" w:firstLineChars="196"/>
        <w:rPr>
          <w:rFonts w:ascii="宋体" w:hAnsi="宋体"/>
        </w:rPr>
      </w:pPr>
      <w:r>
        <w:rPr>
          <w:rFonts w:ascii="宋体" w:hAnsi="宋体" w:hint="eastAsia"/>
        </w:rPr>
        <w:t>4、有依法缴纳税收和社会保障资金的良好记录；</w:t>
      </w:r>
    </w:p>
    <w:p>
      <w:pPr>
        <w:ind w:left="420" w:firstLine="412" w:leftChars="200" w:firstLineChars="196"/>
        <w:rPr>
          <w:rFonts w:ascii="宋体" w:hAnsi="宋体"/>
        </w:rPr>
      </w:pPr>
      <w:r>
        <w:rPr>
          <w:rFonts w:ascii="宋体" w:hAnsi="宋体" w:hint="eastAsia"/>
        </w:rPr>
        <w:t>5、参加政府采购活动前三年内，在经营活动中没有重大违法记录；</w:t>
      </w:r>
    </w:p>
    <w:p>
      <w:pPr>
        <w:ind w:left="420" w:firstLine="412" w:leftChars="200" w:firstLineChars="196"/>
        <w:rPr>
          <w:rFonts w:ascii="宋体" w:hAnsi="宋体"/>
        </w:rPr>
      </w:pPr>
      <w:r>
        <w:rPr>
          <w:rFonts w:ascii="宋体" w:hAnsi="宋体" w:hint="eastAsia"/>
        </w:rPr>
        <w:t>6、法律、行政法规规定的其他条件。</w:t>
      </w:r>
    </w:p>
    <w:p>
      <w:pPr>
        <w:ind w:firstLine="412" w:firstLineChars="196"/>
        <w:rPr>
          <w:rFonts w:ascii="宋体" w:hAnsi="宋体"/>
        </w:rPr>
      </w:pPr>
      <w:r>
        <w:rPr>
          <w:rFonts w:ascii="宋体" w:hAnsi="宋体" w:hint="eastAsia"/>
        </w:rPr>
        <w:t>（2）在投标截止前，投标联合体各方均应注册成政府集中采购机构供应商；</w:t>
      </w:r>
    </w:p>
    <w:p>
      <w:pPr>
        <w:ind w:firstLine="412" w:firstLineChars="196"/>
        <w:rPr>
          <w:rFonts w:ascii="宋体" w:hAnsi="宋体"/>
        </w:rPr>
      </w:pPr>
      <w:r>
        <w:rPr>
          <w:rFonts w:ascii="宋体" w:hAnsi="宋体" w:hint="eastAsia"/>
        </w:rPr>
        <w:t>（3）联合体中有同类资质的供应商按照联合体分工承担相同工作的，应当按照资质等级较低的供应商确定资质等级；</w:t>
      </w:r>
    </w:p>
    <w:p>
      <w:pPr>
        <w:ind w:firstLine="412"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2" w:firstLineChars="196"/>
        <w:rPr>
          <w:rFonts w:ascii="宋体" w:hAnsi="宋体"/>
        </w:rPr>
      </w:pPr>
      <w:r>
        <w:rPr>
          <w:rFonts w:ascii="宋体" w:hAnsi="宋体" w:hint="eastAsia"/>
        </w:rPr>
        <w:t>（5）投标人的投标文件及中标后签署的合同协议对联合体各方均具法律约束力；</w:t>
      </w:r>
    </w:p>
    <w:p>
      <w:pPr>
        <w:ind w:firstLine="412" w:firstLineChars="196"/>
        <w:rPr>
          <w:rFonts w:ascii="宋体" w:hAnsi="宋体"/>
        </w:rPr>
      </w:pPr>
      <w:r>
        <w:rPr>
          <w:rFonts w:ascii="宋体" w:hAnsi="宋体" w:hint="eastAsia"/>
        </w:rPr>
        <w:t>（6）联合体各方应当签订联合体投标协议，明确约定各方拟承担的工作和责任，并将该协议随投标文件一并递交给政府集中采购机构；</w:t>
      </w:r>
    </w:p>
    <w:p>
      <w:pPr>
        <w:ind w:firstLine="412" w:firstLineChars="196"/>
        <w:rPr>
          <w:rFonts w:ascii="宋体" w:hAnsi="宋体"/>
        </w:rPr>
      </w:pPr>
      <w:r>
        <w:rPr>
          <w:rFonts w:ascii="宋体" w:hAnsi="宋体" w:hint="eastAsia"/>
        </w:rPr>
        <w:t>（7）联合体中标后，联合体各方应当共同与采购人签订合同，就中标项目向采购人承担连带责任；</w:t>
      </w:r>
    </w:p>
    <w:p>
      <w:pPr>
        <w:ind w:firstLine="412" w:firstLineChars="196"/>
        <w:rPr>
          <w:rFonts w:ascii="宋体" w:hAnsi="宋体"/>
        </w:rPr>
      </w:pPr>
      <w:r>
        <w:rPr>
          <w:rFonts w:ascii="宋体" w:hAnsi="宋体" w:hint="eastAsia"/>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2" w:firstLineChars="196"/>
        <w:rPr>
          <w:rFonts w:ascii="宋体" w:hAnsi="宋体"/>
          <w:szCs w:val="21"/>
        </w:rPr>
      </w:pPr>
      <w:r>
        <w:rPr>
          <w:rFonts w:ascii="宋体" w:hAnsi="宋体" w:hint="eastAsia"/>
        </w:rPr>
        <w:t>（9）本通用条款中“投标人”一词亦指联合体各方，专用条款另有规定或说明的除外。</w:t>
      </w:r>
    </w:p>
    <w:p>
      <w:pPr>
        <w:outlineLvl w:val="1"/>
        <w:rPr>
          <w:rFonts w:ascii="黑体" w:eastAsia="黑体" w:hAnsi="宋体"/>
          <w:sz w:val="24"/>
        </w:rPr>
      </w:pPr>
      <w:r>
        <w:rPr>
          <w:rFonts w:ascii="黑体" w:eastAsia="黑体" w:hAnsi="宋体" w:hint="eastAsia"/>
          <w:sz w:val="24"/>
        </w:rPr>
        <w:t>6．政策导向</w:t>
      </w:r>
    </w:p>
    <w:p>
      <w:pPr>
        <w:ind w:firstLine="412" w:firstLineChars="196"/>
        <w:rPr>
          <w:rFonts w:ascii="宋体" w:hAnsi="宋体"/>
        </w:rPr>
      </w:pPr>
      <w:r>
        <w:rPr>
          <w:rFonts w:ascii="宋体" w:hAnsi="宋体" w:hint="eastAsia"/>
        </w:rPr>
        <w:t>6.1政府采购扶持贫困地区、中小企业、监狱企业和残疾人福利性单位发展，支持节能减排、环境保护。</w:t>
      </w:r>
    </w:p>
    <w:p>
      <w:pPr>
        <w:ind w:firstLine="405"/>
        <w:rPr>
          <w:shd w:val="clear" w:color="auto" w:fill="FFFFFF"/>
        </w:rPr>
      </w:pPr>
      <w:r>
        <w:rPr>
          <w:rFonts w:ascii="宋体" w:hAnsi="宋体" w:hint="eastAsia"/>
        </w:rPr>
        <w:t>6.2本项目落实深圳市政府采购供应商诚信管理政策要求。</w:t>
      </w:r>
    </w:p>
    <w:p>
      <w:pPr>
        <w:outlineLvl w:val="1"/>
        <w:rPr>
          <w:rFonts w:ascii="黑体" w:eastAsia="黑体" w:hAnsi="宋体"/>
          <w:sz w:val="24"/>
        </w:rPr>
      </w:pPr>
      <w:r>
        <w:rPr>
          <w:rFonts w:ascii="黑体" w:eastAsia="黑体" w:hAnsi="宋体" w:hint="eastAsia"/>
          <w:sz w:val="24"/>
        </w:rPr>
        <w:t>7. 本项目若涉及采购货物，则合格的货物及相应服务应满足以下要求：</w:t>
      </w:r>
    </w:p>
    <w:p>
      <w:pPr>
        <w:ind w:firstLine="412" w:firstLineChars="196"/>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pPr>
        <w:ind w:firstLine="412" w:firstLineChars="196"/>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2" w:firstLineChars="196"/>
        <w:rPr>
          <w:rFonts w:ascii="宋体" w:hAnsi="宋体"/>
        </w:rPr>
      </w:pPr>
      <w:r>
        <w:rPr>
          <w:rFonts w:ascii="宋体" w:hAnsi="宋体" w:hint="eastAsia"/>
        </w:rPr>
        <w:t>7</w:t>
      </w:r>
      <w:r>
        <w:rPr>
          <w:rFonts w:ascii="宋体" w:hAnsi="宋体"/>
        </w:rPr>
        <w:t>.</w:t>
      </w:r>
      <w:r>
        <w:rPr>
          <w:rFonts w:ascii="宋体" w:hAnsi="宋体" w:hint="eastAsia"/>
        </w:rPr>
        <w:t>4投标人</w:t>
      </w:r>
      <w:bookmarkStart w:id="85" w:name="_Hlk72152753"/>
      <w:r>
        <w:rPr>
          <w:rFonts w:ascii="宋体" w:hAnsi="宋体" w:hint="eastAsia"/>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85"/>
    </w:p>
    <w:p>
      <w:pPr>
        <w:ind w:firstLine="412" w:firstLineChars="196"/>
        <w:rPr>
          <w:rFonts w:ascii="宋体" w:hAnsi="宋体"/>
        </w:rPr>
      </w:pPr>
      <w:r>
        <w:rPr>
          <w:rFonts w:ascii="宋体" w:hAnsi="宋体" w:hint="eastAsia"/>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2" w:firstLineChars="196"/>
        <w:rPr>
          <w:rFonts w:ascii="宋体" w:hAnsi="宋体"/>
        </w:rPr>
      </w:pPr>
      <w:r>
        <w:rPr>
          <w:rFonts w:ascii="宋体" w:hAnsi="宋体" w:hint="eastAsia"/>
        </w:rPr>
        <w:t>7.6  工期要求：投标人在投标时对其所投项目应提交交货进度、交货计划等，在合同规定的时间内完成项目实施工作。</w:t>
      </w:r>
    </w:p>
    <w:p>
      <w:pPr>
        <w:ind w:firstLine="412" w:firstLineChars="196"/>
        <w:rPr>
          <w:rFonts w:ascii="宋体" w:hAnsi="宋体"/>
        </w:rPr>
      </w:pPr>
      <w:r>
        <w:rPr>
          <w:rFonts w:ascii="宋体" w:hAnsi="宋体" w:hint="eastAsia"/>
        </w:rPr>
        <w:t>7.7  投标人必须承担的设备运输、安装调试、验收检测和提供设备操作说明书、图纸等其他相关及类似的义务。</w:t>
      </w:r>
    </w:p>
    <w:p>
      <w:pPr>
        <w:outlineLvl w:val="1"/>
        <w:rPr>
          <w:rFonts w:ascii="黑体" w:eastAsia="黑体" w:hAnsi="宋体"/>
          <w:sz w:val="24"/>
        </w:rPr>
      </w:pPr>
      <w:r>
        <w:rPr>
          <w:rFonts w:ascii="黑体" w:eastAsia="黑体" w:hAnsi="宋体" w:hint="eastAsia"/>
          <w:sz w:val="24"/>
        </w:rPr>
        <w:t>8．投标费用</w:t>
      </w:r>
    </w:p>
    <w:p>
      <w:pPr>
        <w:ind w:firstLine="412" w:firstLineChars="196"/>
        <w:rPr>
          <w:rFonts w:ascii="宋体" w:hAnsi="宋体"/>
          <w:szCs w:val="21"/>
        </w:rPr>
      </w:pPr>
      <w:r>
        <w:rPr>
          <w:rFonts w:ascii="宋体" w:hAnsi="宋体" w:hint="eastAsia"/>
          <w:szCs w:val="21"/>
        </w:rPr>
        <w:t>不论投标结果如何，投标人应承担其编制投标文件与递交投标文件所涉及的一切费用。</w:t>
      </w:r>
    </w:p>
    <w:p>
      <w:pPr>
        <w:outlineLvl w:val="1"/>
        <w:rPr>
          <w:rFonts w:ascii="黑体" w:eastAsia="黑体" w:hAnsi="宋体"/>
          <w:sz w:val="24"/>
        </w:rPr>
      </w:pPr>
      <w:r>
        <w:rPr>
          <w:rFonts w:ascii="黑体" w:eastAsia="黑体" w:hAnsi="宋体" w:hint="eastAsia"/>
          <w:sz w:val="24"/>
        </w:rPr>
        <w:t>9．踏勘现场</w:t>
      </w:r>
    </w:p>
    <w:p>
      <w:pPr>
        <w:ind w:firstLine="412" w:firstLineChars="196"/>
        <w:rPr>
          <w:rFonts w:ascii="宋体" w:hAnsi="宋体"/>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2" w:firstLineChars="196"/>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pPr>
        <w:ind w:firstLine="412" w:firstLineChars="196"/>
        <w:rPr>
          <w:rFonts w:ascii="宋体" w:hAnsi="宋体"/>
        </w:rPr>
      </w:pPr>
      <w:r>
        <w:rPr>
          <w:rFonts w:ascii="宋体" w:hAnsi="宋体" w:hint="eastAsia"/>
        </w:rPr>
        <w:t>9.3采购人应当通过政府集中采购机构向投标人提供有关现场的书面资料和数据。</w:t>
      </w:r>
    </w:p>
    <w:p>
      <w:pPr>
        <w:ind w:firstLine="412" w:firstLineChars="196"/>
        <w:rPr>
          <w:rFonts w:ascii="宋体" w:hAnsi="宋体"/>
        </w:rPr>
      </w:pPr>
      <w:r>
        <w:rPr>
          <w:rFonts w:ascii="宋体" w:hAnsi="宋体" w:hint="eastAsia"/>
        </w:rPr>
        <w:t>9.4任何人或任何组织在踏勘现场时向投标人提供的任何书面资料或口头承诺，未经政府集中采购机构在网上发布或书面通知，均作无效处理。</w:t>
      </w:r>
    </w:p>
    <w:p>
      <w:pPr>
        <w:ind w:firstLine="412" w:firstLineChars="196"/>
        <w:rPr>
          <w:rFonts w:ascii="宋体" w:hAnsi="宋体"/>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pPr>
        <w:outlineLvl w:val="1"/>
        <w:rPr>
          <w:rFonts w:ascii="宋体" w:hAnsi="宋体"/>
          <w:szCs w:val="21"/>
        </w:rPr>
      </w:pPr>
      <w:r>
        <w:rPr>
          <w:rFonts w:ascii="黑体" w:eastAsia="黑体" w:hAnsi="宋体" w:hint="eastAsia"/>
          <w:sz w:val="24"/>
        </w:rPr>
        <w:t>1</w:t>
      </w:r>
      <w:r>
        <w:rPr>
          <w:rFonts w:ascii="黑体" w:eastAsia="黑体" w:hAnsi="宋体"/>
          <w:sz w:val="24"/>
        </w:rPr>
        <w:t>0</w:t>
      </w:r>
      <w:r>
        <w:rPr>
          <w:rFonts w:ascii="黑体" w:eastAsia="黑体" w:hAnsi="宋体" w:hint="eastAsia"/>
          <w:sz w:val="24"/>
        </w:rPr>
        <w:t>．标前会议</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2" w:firstLineChars="196"/>
        <w:rPr>
          <w:rFonts w:ascii="宋体" w:hAnsi="宋体"/>
          <w:szCs w:val="21"/>
        </w:rPr>
      </w:pPr>
      <w:r>
        <w:rPr>
          <w:rFonts w:ascii="宋体" w:hAnsi="宋体"/>
        </w:rPr>
        <w:t>10</w:t>
      </w:r>
      <w:r>
        <w:rPr>
          <w:rFonts w:ascii="宋体" w:hAnsi="宋体" w:hint="eastAsia"/>
        </w:rPr>
        <w:t>.</w:t>
      </w:r>
      <w:r>
        <w:rPr>
          <w:rFonts w:ascii="宋体" w:hAnsi="宋体"/>
        </w:rPr>
        <w:t>2</w:t>
      </w:r>
      <w:r>
        <w:rPr>
          <w:rFonts w:ascii="宋体" w:hAnsi="宋体" w:hint="eastAsia"/>
        </w:rPr>
        <w:t>任何人或任何组织在标前会议时向投标人提供的任何书面资料或口头承诺，未经政府集中采购机构在网上发布或书面通知，均作无效处理。</w:t>
      </w:r>
    </w:p>
    <w:p>
      <w:pPr>
        <w:ind w:firstLine="412" w:firstLineChars="196"/>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p>
      <w:pPr>
        <w:pStyle w:val="Heading2"/>
        <w:numPr>
          <w:ilvl w:val="0"/>
          <w:numId w:val="8"/>
        </w:numPr>
        <w:spacing w:before="120" w:beforeLines="50" w:after="120" w:afterLines="50"/>
        <w:ind w:left="562" w:hanging="562"/>
        <w:rPr>
          <w:sz w:val="28"/>
          <w:szCs w:val="28"/>
        </w:rPr>
      </w:pPr>
      <w:bookmarkEnd w:id="84"/>
      <w:r>
        <w:rPr>
          <w:rFonts w:hint="eastAsia"/>
          <w:sz w:val="28"/>
          <w:szCs w:val="28"/>
        </w:rPr>
        <w:t>招标文件</w:t>
      </w:r>
    </w:p>
    <w:p>
      <w:pPr>
        <w:rPr>
          <w:rFonts w:ascii="黑体" w:eastAsia="黑体" w:hAnsi="宋体"/>
          <w:sz w:val="24"/>
        </w:rPr>
      </w:pPr>
      <w:r>
        <w:rPr>
          <w:rFonts w:ascii="黑体" w:eastAsia="黑体" w:hAnsi="宋体" w:hint="eastAsia"/>
          <w:sz w:val="24"/>
        </w:rPr>
        <w:t>1</w:t>
      </w:r>
      <w:r>
        <w:rPr>
          <w:rFonts w:ascii="黑体" w:eastAsia="黑体" w:hAnsi="宋体"/>
          <w:sz w:val="24"/>
        </w:rPr>
        <w:t>1</w:t>
      </w:r>
      <w:r>
        <w:rPr>
          <w:rFonts w:ascii="黑体" w:eastAsia="黑体" w:hAnsi="宋体" w:hint="eastAsia"/>
          <w:sz w:val="24"/>
        </w:rPr>
        <w:t>．</w:t>
      </w:r>
      <w:bookmarkStart w:id="86" w:name="_Hlk72399819"/>
      <w:r>
        <w:rPr>
          <w:rFonts w:ascii="黑体" w:eastAsia="黑体" w:hAnsi="宋体" w:hint="eastAsia"/>
          <w:sz w:val="24"/>
        </w:rPr>
        <w:t>招标文件的编制与组成</w:t>
      </w:r>
    </w:p>
    <w:p>
      <w:pPr>
        <w:snapToGrid w:val="0"/>
        <w:ind w:firstLine="420" w:firstLineChars="20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pPr>
        <w:ind w:firstLine="412" w:firstLineChars="196"/>
        <w:rPr>
          <w:rFonts w:ascii="宋体" w:hAnsi="宋体"/>
          <w:szCs w:val="21"/>
        </w:rPr>
      </w:pPr>
      <w:r>
        <w:rPr>
          <w:rFonts w:ascii="宋体" w:hAnsi="宋体" w:hint="eastAsia"/>
          <w:szCs w:val="21"/>
        </w:rPr>
        <w:t>招标文件包括下列内容：</w:t>
      </w:r>
    </w:p>
    <w:p>
      <w:pPr>
        <w:ind w:left="420" w:firstLine="412" w:leftChars="200" w:firstLineChars="196"/>
        <w:rPr>
          <w:rFonts w:ascii="宋体" w:hAnsi="宋体"/>
          <w:b/>
          <w:szCs w:val="21"/>
        </w:rPr>
      </w:pPr>
      <w:r>
        <w:rPr>
          <w:rFonts w:ascii="宋体" w:hAnsi="宋体" w:hint="eastAsia"/>
          <w:b/>
          <w:szCs w:val="21"/>
        </w:rPr>
        <w:t>第一册  专用条款</w:t>
      </w:r>
    </w:p>
    <w:p>
      <w:pPr>
        <w:ind w:left="1079" w:leftChars="514"/>
        <w:rPr>
          <w:rFonts w:ascii="宋体" w:hAnsi="宋体"/>
          <w:b/>
          <w:szCs w:val="21"/>
        </w:rPr>
      </w:pPr>
      <w:r>
        <w:rPr>
          <w:rFonts w:ascii="宋体" w:hAnsi="宋体" w:hint="eastAsia"/>
          <w:b/>
          <w:szCs w:val="21"/>
        </w:rPr>
        <w:t>关键信息</w:t>
      </w:r>
    </w:p>
    <w:p>
      <w:pPr>
        <w:ind w:left="630" w:firstLine="412" w:leftChars="300" w:firstLineChars="196"/>
        <w:outlineLvl w:val="0"/>
        <w:rPr>
          <w:rFonts w:ascii="宋体" w:hAnsi="宋体"/>
          <w:szCs w:val="21"/>
        </w:rPr>
      </w:pPr>
      <w:r>
        <w:rPr>
          <w:rFonts w:ascii="宋体" w:hAnsi="宋体" w:hint="eastAsia"/>
          <w:szCs w:val="21"/>
        </w:rPr>
        <w:t>第一章  招标公告</w:t>
      </w:r>
    </w:p>
    <w:p>
      <w:pPr>
        <w:ind w:left="630" w:firstLine="412" w:leftChars="300" w:firstLineChars="196"/>
        <w:outlineLvl w:val="0"/>
        <w:rPr>
          <w:rFonts w:ascii="宋体" w:hAnsi="宋体"/>
          <w:szCs w:val="21"/>
        </w:rPr>
      </w:pPr>
      <w:r>
        <w:rPr>
          <w:rFonts w:ascii="宋体" w:hAnsi="宋体" w:hint="eastAsia"/>
          <w:szCs w:val="21"/>
        </w:rPr>
        <w:t>第二章  对通用条款的补充内容及其他关键信息</w:t>
      </w:r>
    </w:p>
    <w:p>
      <w:pPr>
        <w:ind w:left="630" w:firstLine="412" w:leftChars="300" w:firstLineChars="196"/>
        <w:outlineLvl w:val="0"/>
        <w:rPr>
          <w:rFonts w:ascii="宋体" w:hAnsi="宋体"/>
          <w:szCs w:val="21"/>
        </w:rPr>
      </w:pPr>
      <w:r>
        <w:rPr>
          <w:rFonts w:ascii="宋体" w:hAnsi="宋体" w:hint="eastAsia"/>
          <w:szCs w:val="21"/>
        </w:rPr>
        <w:t>第三章  用户需求书</w:t>
      </w:r>
    </w:p>
    <w:p>
      <w:pPr>
        <w:ind w:left="630" w:firstLine="412" w:leftChars="300" w:firstLineChars="196"/>
        <w:outlineLvl w:val="0"/>
        <w:rPr>
          <w:rFonts w:ascii="宋体" w:hAnsi="宋体"/>
          <w:szCs w:val="21"/>
        </w:rPr>
      </w:pPr>
      <w:r>
        <w:rPr>
          <w:rFonts w:hint="eastAsia"/>
        </w:rPr>
        <w:t>第四章 投标文件格式及附件</w:t>
      </w:r>
    </w:p>
    <w:p>
      <w:pPr>
        <w:ind w:left="630" w:firstLine="412" w:leftChars="300" w:firstLineChars="196"/>
        <w:outlineLvl w:val="0"/>
        <w:rPr>
          <w:rFonts w:ascii="宋体" w:hAnsi="宋体"/>
          <w:szCs w:val="21"/>
        </w:rPr>
      </w:pPr>
      <w:r>
        <w:rPr>
          <w:rFonts w:ascii="宋体" w:hAnsi="宋体" w:hint="eastAsia"/>
          <w:szCs w:val="21"/>
        </w:rPr>
        <w:t>第五章  合同条款及格式</w:t>
      </w:r>
    </w:p>
    <w:p>
      <w:pPr>
        <w:ind w:left="420" w:firstLine="412" w:leftChars="200" w:firstLineChars="196"/>
        <w:outlineLvl w:val="0"/>
        <w:rPr>
          <w:rFonts w:ascii="宋体" w:hAnsi="宋体"/>
          <w:b/>
          <w:szCs w:val="21"/>
        </w:rPr>
      </w:pPr>
      <w:r>
        <w:rPr>
          <w:rFonts w:ascii="宋体" w:hAnsi="宋体" w:hint="eastAsia"/>
          <w:b/>
          <w:szCs w:val="21"/>
        </w:rPr>
        <w:t>第二册  通用条款</w:t>
      </w:r>
    </w:p>
    <w:p>
      <w:pPr>
        <w:ind w:left="630" w:firstLine="412" w:leftChars="300" w:firstLineChars="196"/>
        <w:outlineLvl w:val="0"/>
        <w:rPr>
          <w:rFonts w:ascii="宋体" w:hAnsi="宋体"/>
          <w:szCs w:val="21"/>
        </w:rPr>
      </w:pPr>
      <w:r>
        <w:rPr>
          <w:rFonts w:ascii="宋体" w:hAnsi="宋体" w:hint="eastAsia"/>
          <w:szCs w:val="21"/>
        </w:rPr>
        <w:t>第一章  总则</w:t>
      </w:r>
    </w:p>
    <w:p>
      <w:pPr>
        <w:ind w:left="630" w:firstLine="412" w:leftChars="300" w:firstLineChars="196"/>
        <w:outlineLvl w:val="0"/>
        <w:rPr>
          <w:rFonts w:ascii="宋体" w:hAnsi="宋体"/>
          <w:szCs w:val="21"/>
        </w:rPr>
      </w:pPr>
      <w:r>
        <w:rPr>
          <w:rFonts w:ascii="宋体" w:hAnsi="宋体" w:hint="eastAsia"/>
          <w:szCs w:val="21"/>
        </w:rPr>
        <w:t>第二章  招标文件</w:t>
      </w:r>
    </w:p>
    <w:p>
      <w:pPr>
        <w:ind w:left="630" w:firstLine="412" w:leftChars="300" w:firstLineChars="196"/>
        <w:outlineLvl w:val="0"/>
        <w:rPr>
          <w:rFonts w:ascii="宋体" w:hAnsi="宋体"/>
          <w:szCs w:val="21"/>
        </w:rPr>
      </w:pPr>
      <w:r>
        <w:rPr>
          <w:rFonts w:ascii="宋体" w:hAnsi="宋体" w:hint="eastAsia"/>
          <w:szCs w:val="21"/>
        </w:rPr>
        <w:t>第三章  投标文件的编制</w:t>
      </w:r>
    </w:p>
    <w:p>
      <w:pPr>
        <w:ind w:left="630" w:firstLine="412" w:leftChars="300" w:firstLineChars="196"/>
        <w:outlineLvl w:val="0"/>
        <w:rPr>
          <w:rFonts w:ascii="宋体" w:hAnsi="宋体"/>
          <w:szCs w:val="21"/>
        </w:rPr>
      </w:pPr>
      <w:r>
        <w:rPr>
          <w:rFonts w:ascii="宋体" w:hAnsi="宋体" w:hint="eastAsia"/>
          <w:szCs w:val="21"/>
        </w:rPr>
        <w:t>第四章  投标文件的递交</w:t>
      </w:r>
    </w:p>
    <w:p>
      <w:pPr>
        <w:ind w:left="630" w:firstLine="412" w:leftChars="300" w:firstLineChars="196"/>
        <w:outlineLvl w:val="0"/>
        <w:rPr>
          <w:rFonts w:ascii="宋体" w:hAnsi="宋体"/>
          <w:szCs w:val="21"/>
        </w:rPr>
      </w:pPr>
      <w:r>
        <w:rPr>
          <w:rFonts w:ascii="宋体" w:hAnsi="宋体" w:hint="eastAsia"/>
          <w:szCs w:val="21"/>
        </w:rPr>
        <w:t>第五章  开标</w:t>
      </w:r>
    </w:p>
    <w:p>
      <w:pPr>
        <w:ind w:left="630" w:firstLine="412" w:leftChars="300" w:firstLineChars="196"/>
        <w:outlineLvl w:val="0"/>
        <w:rPr>
          <w:rFonts w:ascii="宋体" w:hAnsi="宋体"/>
          <w:szCs w:val="21"/>
        </w:rPr>
      </w:pPr>
      <w:r>
        <w:rPr>
          <w:rFonts w:ascii="宋体" w:hAnsi="宋体" w:hint="eastAsia"/>
          <w:szCs w:val="21"/>
        </w:rPr>
        <w:t>第六章  评审要求</w:t>
      </w:r>
    </w:p>
    <w:p>
      <w:pPr>
        <w:ind w:left="630" w:firstLine="412" w:leftChars="300" w:firstLineChars="196"/>
        <w:outlineLvl w:val="0"/>
        <w:rPr>
          <w:rFonts w:ascii="宋体" w:hAnsi="宋体"/>
          <w:szCs w:val="21"/>
        </w:rPr>
      </w:pPr>
      <w:r>
        <w:rPr>
          <w:rFonts w:ascii="宋体" w:hAnsi="宋体" w:hint="eastAsia"/>
          <w:szCs w:val="21"/>
        </w:rPr>
        <w:t>第七章  评审程序及评审方法</w:t>
      </w:r>
    </w:p>
    <w:p>
      <w:pPr>
        <w:ind w:left="630" w:firstLine="412" w:leftChars="300" w:firstLineChars="196"/>
        <w:outlineLvl w:val="0"/>
        <w:rPr>
          <w:rFonts w:ascii="宋体" w:hAnsi="宋体"/>
          <w:szCs w:val="21"/>
        </w:rPr>
      </w:pPr>
      <w:r>
        <w:rPr>
          <w:rFonts w:ascii="宋体" w:hAnsi="宋体" w:hint="eastAsia"/>
          <w:szCs w:val="21"/>
        </w:rPr>
        <w:t>第八章  定标及公示</w:t>
      </w:r>
    </w:p>
    <w:p>
      <w:pPr>
        <w:ind w:left="630" w:firstLine="412" w:leftChars="300" w:firstLineChars="196"/>
        <w:outlineLvl w:val="0"/>
        <w:rPr>
          <w:rFonts w:ascii="宋体" w:hAnsi="宋体"/>
          <w:szCs w:val="21"/>
        </w:rPr>
      </w:pPr>
      <w:r>
        <w:rPr>
          <w:rFonts w:ascii="宋体" w:hAnsi="宋体" w:hint="eastAsia"/>
          <w:szCs w:val="21"/>
        </w:rPr>
        <w:t>第九章  公开招标失败的后续处理</w:t>
      </w:r>
    </w:p>
    <w:p>
      <w:pPr>
        <w:ind w:left="630" w:firstLine="412" w:leftChars="300" w:firstLineChars="196"/>
        <w:outlineLvl w:val="0"/>
        <w:rPr>
          <w:rFonts w:ascii="宋体" w:hAnsi="宋体"/>
          <w:szCs w:val="21"/>
        </w:rPr>
      </w:pPr>
      <w:r>
        <w:rPr>
          <w:rFonts w:ascii="宋体" w:hAnsi="宋体" w:hint="eastAsia"/>
          <w:szCs w:val="21"/>
        </w:rPr>
        <w:t>第十章  合同的授予与备案</w:t>
      </w:r>
    </w:p>
    <w:p>
      <w:pPr>
        <w:ind w:left="630" w:firstLine="412" w:leftChars="300" w:firstLineChars="196"/>
        <w:outlineLvl w:val="0"/>
        <w:rPr>
          <w:rFonts w:ascii="宋体" w:hAnsi="宋体"/>
          <w:szCs w:val="21"/>
        </w:rPr>
      </w:pPr>
      <w:r>
        <w:rPr>
          <w:rFonts w:ascii="宋体" w:hAnsi="宋体" w:hint="eastAsia"/>
          <w:szCs w:val="21"/>
        </w:rPr>
        <w:t>第十一章  质疑处理</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2" w:firstLineChars="196"/>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.3</w:t>
      </w:r>
      <w:r>
        <w:rPr>
          <w:rFonts w:ascii="宋体" w:hAnsi="宋体" w:hint="eastAsia"/>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ascii="黑体" w:eastAsia="黑体" w:hAnsi="宋体"/>
          <w:sz w:val="24"/>
        </w:rPr>
      </w:pPr>
      <w:r>
        <w:rPr>
          <w:rFonts w:ascii="黑体" w:eastAsia="黑体" w:hAnsi="宋体" w:hint="eastAsia"/>
          <w:sz w:val="24"/>
        </w:rPr>
        <w:t>1</w:t>
      </w:r>
      <w:r>
        <w:rPr>
          <w:rFonts w:ascii="黑体" w:eastAsia="黑体" w:hAnsi="宋体"/>
          <w:sz w:val="24"/>
        </w:rPr>
        <w:t>2</w:t>
      </w:r>
      <w:r>
        <w:rPr>
          <w:rFonts w:ascii="黑体" w:eastAsia="黑体" w:hAnsi="宋体" w:hint="eastAsia"/>
          <w:sz w:val="24"/>
        </w:rPr>
        <w:t>．招标文件的澄清</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.2投标人如对招标文件内容有疑问，应当在招标公告规定的澄清（提问）截止时间前以网上提问的形式通过网上政府采购系统提交政府集中采购机构。</w:t>
      </w:r>
    </w:p>
    <w:p>
      <w:pPr>
        <w:ind w:firstLine="412" w:firstLineChars="196"/>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pPr>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pPr>
        <w:ind w:firstLine="412" w:firstLineChars="196"/>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pPr>
        <w:ind w:firstLine="412" w:firstLineChars="196"/>
        <w:rPr>
          <w:rFonts w:ascii="宋体" w:hAnsi="宋体"/>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pPr>
        <w:ind w:firstLine="412" w:firstLineChars="196"/>
        <w:rPr>
          <w:rFonts w:ascii="宋体" w:hAnsi="宋体"/>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2" w:firstLineChars="196"/>
        <w:rPr>
          <w:rFonts w:ascii="宋体" w:hAnsi="宋体"/>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86"/>
    </w:p>
    <w:p>
      <w:pPr>
        <w:pStyle w:val="Heading2"/>
        <w:numPr>
          <w:ilvl w:val="0"/>
          <w:numId w:val="8"/>
        </w:numPr>
        <w:spacing w:before="120" w:beforeLines="50" w:after="120" w:afterLines="50"/>
        <w:ind w:left="562" w:hanging="562"/>
        <w:rPr>
          <w:sz w:val="28"/>
          <w:szCs w:val="28"/>
        </w:rPr>
      </w:pPr>
      <w:r>
        <w:rPr>
          <w:rFonts w:hint="eastAsia"/>
          <w:sz w:val="28"/>
          <w:szCs w:val="28"/>
        </w:rPr>
        <w:t>投标文件的编制</w:t>
      </w:r>
    </w:p>
    <w:p>
      <w:pPr>
        <w:rPr>
          <w:rFonts w:ascii="黑体" w:eastAsia="黑体" w:hAnsi="宋体"/>
          <w:sz w:val="24"/>
        </w:rPr>
      </w:pPr>
      <w:r>
        <w:rPr>
          <w:rFonts w:ascii="黑体" w:eastAsia="黑体" w:hAnsi="宋体" w:hint="eastAsia"/>
          <w:sz w:val="24"/>
        </w:rPr>
        <w:t>14．</w:t>
      </w:r>
      <w:bookmarkStart w:id="87" w:name="_Hlk72400236"/>
      <w:r>
        <w:rPr>
          <w:rFonts w:ascii="黑体" w:eastAsia="黑体" w:hAnsi="宋体" w:hint="eastAsia"/>
          <w:sz w:val="24"/>
        </w:rPr>
        <w:t>投标文件的语言及度量单位</w:t>
      </w:r>
    </w:p>
    <w:p>
      <w:pPr>
        <w:ind w:firstLine="412" w:firstLineChars="196"/>
        <w:rPr>
          <w:rFonts w:ascii="宋体" w:hAnsi="宋体"/>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2" w:firstLineChars="196"/>
        <w:rPr>
          <w:rFonts w:ascii="宋体" w:hAnsi="宋体"/>
          <w:szCs w:val="21"/>
        </w:rPr>
      </w:pPr>
      <w:r>
        <w:rPr>
          <w:rFonts w:ascii="宋体" w:hAnsi="宋体" w:hint="eastAsia"/>
          <w:szCs w:val="21"/>
        </w:rPr>
        <w:t>14.2 除技术规范另有规定外，投标文件使用的度量单位，均采用中华人民共和国法定计量单位。</w:t>
      </w:r>
    </w:p>
    <w:p>
      <w:pPr>
        <w:rPr>
          <w:rFonts w:ascii="黑体" w:eastAsia="黑体" w:hAnsi="宋体"/>
          <w:sz w:val="24"/>
        </w:rPr>
      </w:pPr>
      <w:bookmarkEnd w:id="87"/>
      <w:r>
        <w:rPr>
          <w:rFonts w:ascii="黑体" w:eastAsia="黑体" w:hAnsi="宋体" w:hint="eastAsia"/>
          <w:sz w:val="24"/>
        </w:rPr>
        <w:t>15．</w:t>
      </w:r>
      <w:bookmarkStart w:id="88" w:name="_Hlk72401567"/>
      <w:r>
        <w:rPr>
          <w:rFonts w:ascii="黑体" w:eastAsia="黑体" w:hAnsi="宋体" w:hint="eastAsia"/>
          <w:sz w:val="24"/>
        </w:rPr>
        <w:t>投标文件的组成</w:t>
      </w:r>
    </w:p>
    <w:p>
      <w:pPr>
        <w:ind w:firstLine="412" w:firstLineChars="196"/>
        <w:rPr>
          <w:rFonts w:ascii="宋体" w:hAnsi="宋体"/>
          <w:szCs w:val="21"/>
        </w:rPr>
      </w:pPr>
      <w:r>
        <w:rPr>
          <w:rFonts w:ascii="宋体" w:hAnsi="宋体" w:hint="eastAsia"/>
          <w:szCs w:val="21"/>
        </w:rPr>
        <w:t>具体内容在招标文件专用条款中进行规定。</w:t>
      </w:r>
    </w:p>
    <w:p>
      <w:pPr>
        <w:rPr>
          <w:rFonts w:ascii="黑体" w:eastAsia="黑体" w:hAnsi="宋体"/>
          <w:sz w:val="24"/>
        </w:rPr>
      </w:pPr>
      <w:r>
        <w:rPr>
          <w:rFonts w:ascii="黑体" w:eastAsia="黑体" w:hAnsi="宋体"/>
          <w:sz w:val="24"/>
        </w:rPr>
        <w:t>16．投标文件格式</w:t>
      </w:r>
    </w:p>
    <w:p>
      <w:pPr>
        <w:ind w:firstLine="412" w:firstLineChars="196"/>
        <w:rPr>
          <w:rFonts w:ascii="宋体" w:hAnsi="宋体"/>
          <w:szCs w:val="21"/>
        </w:rPr>
      </w:pPr>
      <w:r>
        <w:rPr>
          <w:rFonts w:ascii="宋体" w:hAnsi="宋体" w:hint="eastAsia"/>
          <w:szCs w:val="21"/>
        </w:rPr>
        <w:t>投标文件包括本通用条款第</w:t>
      </w:r>
      <w:r>
        <w:rPr>
          <w:rFonts w:ascii="宋体" w:hAnsi="宋体"/>
          <w:szCs w:val="21"/>
        </w:rPr>
        <w:t>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pPr>
        <w:rPr>
          <w:rFonts w:ascii="黑体" w:eastAsia="黑体" w:hAnsi="宋体"/>
          <w:sz w:val="24"/>
        </w:rPr>
      </w:pPr>
      <w:r>
        <w:rPr>
          <w:rFonts w:ascii="黑体" w:eastAsia="黑体" w:hAnsi="宋体" w:hint="eastAsia"/>
          <w:sz w:val="24"/>
        </w:rPr>
        <w:t>17．投标货币</w:t>
      </w:r>
    </w:p>
    <w:p>
      <w:pPr>
        <w:ind w:firstLine="412" w:firstLineChars="196"/>
        <w:rPr>
          <w:rFonts w:ascii="宋体" w:hAnsi="宋体"/>
          <w:szCs w:val="21"/>
        </w:rPr>
      </w:pPr>
      <w:r>
        <w:rPr>
          <w:rFonts w:ascii="宋体" w:hAnsi="宋体" w:hint="eastAsia"/>
          <w:szCs w:val="21"/>
        </w:rPr>
        <w:t>本项目的投标报价应以人民币计。</w:t>
      </w:r>
    </w:p>
    <w:p>
      <w:pPr>
        <w:rPr>
          <w:rFonts w:ascii="黑体" w:eastAsia="黑体" w:hAnsi="宋体"/>
          <w:sz w:val="24"/>
        </w:rPr>
      </w:pPr>
      <w:bookmarkEnd w:id="88"/>
      <w:r>
        <w:rPr>
          <w:rFonts w:ascii="黑体" w:eastAsia="黑体" w:hAnsi="宋体" w:hint="eastAsia"/>
          <w:sz w:val="24"/>
        </w:rPr>
        <w:t>18．</w:t>
      </w:r>
      <w:bookmarkStart w:id="89" w:name="_Hlk72401735"/>
      <w:r>
        <w:rPr>
          <w:rFonts w:ascii="黑体" w:eastAsia="黑体" w:hAnsi="宋体" w:hint="eastAsia"/>
          <w:sz w:val="24"/>
        </w:rPr>
        <w:t>证明投标文件投标技术方案的合格性和符合招标文件规定的文件要求</w:t>
      </w:r>
    </w:p>
    <w:p>
      <w:pPr>
        <w:ind w:firstLine="412" w:firstLineChars="196"/>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2" w:firstLineChars="196"/>
        <w:rPr>
          <w:rFonts w:ascii="宋体" w:hAnsi="宋体"/>
          <w:szCs w:val="21"/>
        </w:rPr>
      </w:pPr>
      <w:r>
        <w:rPr>
          <w:rFonts w:ascii="宋体" w:hAnsi="宋体" w:hint="eastAsia"/>
          <w:szCs w:val="21"/>
        </w:rPr>
        <w:t>18.2.1主要技术指标和性能的详细说明。</w:t>
      </w:r>
    </w:p>
    <w:p>
      <w:pPr>
        <w:ind w:firstLine="412" w:firstLineChars="196"/>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pPr>
        <w:ind w:firstLine="412" w:firstLineChars="196"/>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2" w:firstLineChars="196"/>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pPr>
        <w:ind w:firstLine="412" w:firstLineChars="196"/>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2" w:firstLineChars="196"/>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pPr>
        <w:ind w:firstLine="412" w:firstLineChars="196"/>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pPr>
        <w:ind w:firstLine="412" w:firstLineChars="196"/>
        <w:rPr>
          <w:rFonts w:ascii="宋体" w:hAnsi="宋体"/>
          <w:szCs w:val="21"/>
        </w:rPr>
      </w:pPr>
      <w:r>
        <w:rPr>
          <w:rFonts w:ascii="宋体" w:hAnsi="宋体" w:hint="eastAsia"/>
          <w:szCs w:val="21"/>
        </w:rPr>
        <w:t>18.5除非另有规定或说明，投标人对同一项目投标时，不得同时提供两套或两套以上的投标方案。</w:t>
      </w:r>
    </w:p>
    <w:p>
      <w:pPr>
        <w:rPr>
          <w:rFonts w:ascii="黑体" w:eastAsia="黑体" w:hAnsi="宋体"/>
          <w:sz w:val="24"/>
        </w:rPr>
      </w:pPr>
      <w:bookmarkEnd w:id="89"/>
      <w:r>
        <w:rPr>
          <w:rFonts w:ascii="黑体" w:eastAsia="黑体" w:hAnsi="宋体" w:hint="eastAsia"/>
          <w:sz w:val="24"/>
        </w:rPr>
        <w:t>19．</w:t>
      </w:r>
      <w:bookmarkStart w:id="90" w:name="_Hlk72402034"/>
      <w:r>
        <w:rPr>
          <w:rFonts w:ascii="黑体" w:eastAsia="黑体" w:hAnsi="宋体" w:hint="eastAsia"/>
          <w:sz w:val="24"/>
        </w:rPr>
        <w:t>投标文件其他证明文件的要求</w:t>
      </w:r>
    </w:p>
    <w:p>
      <w:pPr>
        <w:rPr>
          <w:rFonts w:ascii="宋体" w:hAnsi="宋体"/>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91" w:name="_Hlk71407299"/>
    </w:p>
    <w:p>
      <w:pPr>
        <w:ind w:firstLine="412" w:firstLineChars="196"/>
        <w:rPr>
          <w:rFonts w:ascii="宋体" w:hAnsi="宋体"/>
          <w:szCs w:val="21"/>
        </w:rPr>
      </w:pPr>
      <w:bookmarkEnd w:id="91"/>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eastAsia="黑体" w:hAnsi="宋体"/>
          <w:sz w:val="24"/>
        </w:rPr>
      </w:pPr>
      <w:r>
        <w:rPr>
          <w:rFonts w:ascii="黑体" w:eastAsia="黑体" w:hAnsi="宋体" w:hint="eastAsia"/>
          <w:sz w:val="24"/>
        </w:rPr>
        <w:t>20．投标有效期</w:t>
      </w:r>
    </w:p>
    <w:p>
      <w:pPr>
        <w:ind w:firstLine="412" w:firstLineChars="196"/>
        <w:rPr>
          <w:rFonts w:ascii="宋体" w:hAnsi="宋体"/>
          <w:szCs w:val="21"/>
        </w:rPr>
      </w:pPr>
      <w:bookmarkEnd w:id="90"/>
      <w:bookmarkStart w:id="92" w:name="_Hlk7240221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pPr>
        <w:ind w:firstLine="412" w:firstLineChars="196"/>
        <w:rPr>
          <w:rFonts w:ascii="宋体" w:hAnsi="宋体"/>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2" w:firstLineChars="196"/>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p>
      <w:pPr>
        <w:rPr>
          <w:rFonts w:ascii="黑体" w:eastAsia="黑体" w:hAnsi="宋体"/>
          <w:sz w:val="24"/>
        </w:rPr>
      </w:pPr>
      <w:bookmarkEnd w:id="92"/>
      <w:r>
        <w:rPr>
          <w:rFonts w:ascii="黑体" w:eastAsia="黑体" w:hAnsi="宋体" w:hint="eastAsia"/>
          <w:sz w:val="24"/>
        </w:rPr>
        <w:t>21．</w:t>
      </w:r>
      <w:bookmarkStart w:id="93" w:name="_Hlk72402325"/>
      <w:r>
        <w:rPr>
          <w:rFonts w:ascii="黑体" w:eastAsia="黑体" w:hAnsi="宋体" w:hint="eastAsia"/>
          <w:sz w:val="24"/>
        </w:rPr>
        <w:t xml:space="preserve">关于投标保证金 </w:t>
      </w:r>
    </w:p>
    <w:p>
      <w:pPr>
        <w:rPr>
          <w:rFonts w:ascii="宋体" w:hAnsi="宋体"/>
          <w:szCs w:val="21"/>
        </w:rPr>
      </w:pPr>
      <w:r>
        <w:rPr>
          <w:rFonts w:ascii="宋体" w:hAnsi="宋体" w:hint="eastAsia"/>
          <w:szCs w:val="21"/>
        </w:rPr>
        <w:t xml:space="preserve">    21.1 </w:t>
      </w:r>
      <w:r>
        <w:rPr>
          <w:rFonts w:hint="eastAsia"/>
        </w:rPr>
        <w:t>根据《</w:t>
      </w:r>
      <w:r>
        <w:t>深圳市财政局关于明确政府采购保证金管理工作的通知</w:t>
      </w:r>
      <w:r>
        <w:rPr>
          <w:rFonts w:hint="eastAsia"/>
        </w:rPr>
        <w:t>》（深财购[</w:t>
      </w:r>
      <w:r>
        <w:t>2019]42</w:t>
      </w:r>
      <w:r>
        <w:rPr>
          <w:rFonts w:hint="eastAsia"/>
        </w:rPr>
        <w:t>号）文的规定，本项目不收取投标保证金。</w:t>
      </w:r>
    </w:p>
    <w:p>
      <w:pPr>
        <w:rPr>
          <w:rFonts w:ascii="黑体" w:eastAsia="黑体" w:hAnsi="宋体"/>
          <w:sz w:val="24"/>
        </w:rPr>
      </w:pPr>
      <w:r>
        <w:rPr>
          <w:rFonts w:ascii="黑体" w:eastAsia="黑体" w:hAnsi="宋体" w:hint="eastAsia"/>
          <w:sz w:val="24"/>
        </w:rPr>
        <w:t>22．投标人的替代方案</w:t>
      </w:r>
    </w:p>
    <w:p>
      <w:pPr>
        <w:ind w:firstLine="412" w:firstLineChars="196"/>
        <w:rPr>
          <w:rFonts w:ascii="宋体" w:hAnsi="宋体"/>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2" w:firstLineChars="196"/>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rPr>
          <w:rFonts w:ascii="黑体" w:eastAsia="黑体" w:hAnsi="宋体"/>
          <w:sz w:val="24"/>
        </w:rPr>
      </w:pPr>
      <w:bookmarkEnd w:id="93"/>
      <w:r>
        <w:rPr>
          <w:rFonts w:ascii="黑体" w:eastAsia="黑体" w:hAnsi="宋体" w:hint="eastAsia"/>
          <w:sz w:val="24"/>
        </w:rPr>
        <w:t>23．</w:t>
      </w:r>
      <w:bookmarkStart w:id="94" w:name="_Hlk72402860"/>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pPr>
        <w:ind w:firstLine="412" w:firstLineChars="196"/>
        <w:rPr>
          <w:rFonts w:ascii="宋体" w:hAnsi="宋体"/>
        </w:rPr>
      </w:pPr>
      <w:r>
        <w:rPr>
          <w:rFonts w:ascii="宋体" w:hAnsi="宋体" w:hint="eastAsia"/>
        </w:rPr>
        <w:t>23.1投标人应准备所投项目的电子投标文件一份。此电子投标文件须由投标人根据政府集中采购机构提供的后缀名为.szczf的电子招标文件，下载并使用相应的深圳智慧采购平台投标文件制作专用软件打开招标文件（.szczf格式）【下载地址：</w:t>
      </w:r>
      <w:r>
        <w:rPr>
          <w:rFonts w:hint="eastAsia"/>
        </w:rPr>
        <w:t>http://zfcg.szggzy.com:8081/cgxy/013002/20210923/173e0b2c-7a4c-4246-a0c7-e0ea75d84dd6.html</w:t>
      </w:r>
      <w:r>
        <w:rPr>
          <w:rFonts w:ascii="宋体" w:hAnsi="宋体" w:hint="eastAsia"/>
        </w:rPr>
        <w:t>】。</w:t>
      </w:r>
    </w:p>
    <w:p>
      <w:pPr>
        <w:ind w:firstLine="412" w:firstLineChars="196"/>
        <w:rPr>
          <w:rFonts w:ascii="宋体" w:hAnsi="宋体"/>
        </w:rPr>
      </w:pPr>
      <w:r>
        <w:rPr>
          <w:rFonts w:ascii="宋体" w:hAnsi="宋体" w:hint="eastAsia"/>
        </w:rPr>
        <w:t>23.2投标人在使用《投标文件制作软件》编制投标书时须注意：</w:t>
      </w:r>
    </w:p>
    <w:p>
      <w:pPr>
        <w:ind w:firstLine="412" w:firstLineChars="196"/>
        <w:rPr>
          <w:rFonts w:ascii="宋体" w:hAnsi="宋体"/>
        </w:rPr>
      </w:pPr>
      <w:r>
        <w:rPr>
          <w:rFonts w:ascii="宋体" w:hAnsi="宋体" w:hint="eastAsia"/>
        </w:rPr>
        <w:t>23.2.1导入《投标文件制作软件》的招标文件项目编号、包号应与以此制作的投标文件项目编号、包号一致。例如，不能将甲项目A包的招标书导入《投标文件制作软件》，制作乙项目B包的投标书。</w:t>
      </w:r>
    </w:p>
    <w:p>
      <w:pPr>
        <w:ind w:firstLine="412" w:firstLineChars="196"/>
        <w:rPr>
          <w:rFonts w:ascii="宋体" w:hAnsi="宋体"/>
        </w:rPr>
      </w:pPr>
      <w:r>
        <w:rPr>
          <w:rFonts w:ascii="宋体" w:hAnsi="宋体" w:hint="eastAsia"/>
        </w:rPr>
        <w:t>23.2.2不能用非本公司的电子密钥加密本公司的投标文件，或者用其它公司的登录用户上传本公司的投标文件。</w:t>
      </w:r>
    </w:p>
    <w:p>
      <w:pPr>
        <w:ind w:firstLine="412" w:firstLineChars="196"/>
        <w:rPr>
          <w:rFonts w:ascii="宋体" w:hAnsi="宋体"/>
        </w:rPr>
      </w:pPr>
      <w:r>
        <w:rPr>
          <w:rFonts w:ascii="宋体" w:hAnsi="宋体" w:hint="eastAsia"/>
        </w:rPr>
        <w:t>23.2.3要求用《投标文件制作软件》编制投标书的包，不能用其它方式编制投标书。编制投标文件时，电脑须连通互联网。</w:t>
      </w:r>
    </w:p>
    <w:p>
      <w:pPr>
        <w:ind w:firstLine="412" w:firstLineChars="196"/>
        <w:rPr>
          <w:rFonts w:ascii="宋体" w:hAnsi="宋体"/>
        </w:rPr>
      </w:pPr>
      <w:r>
        <w:rPr>
          <w:rFonts w:ascii="宋体" w:hAnsi="宋体" w:hint="eastAsia"/>
        </w:rPr>
        <w:t>23.2.4投标文件不能带病毒。政府集中采购机构将用专业杀毒软件对投标文件进行病毒检测，如果这两种软件均报告发现病毒，则政府集中采购机构认为该投标文件带病毒。</w:t>
      </w:r>
    </w:p>
    <w:p>
      <w:pPr>
        <w:ind w:firstLine="412" w:firstLineChars="196"/>
        <w:rPr>
          <w:rFonts w:ascii="宋体" w:hAnsi="宋体"/>
        </w:rPr>
      </w:pPr>
      <w:r>
        <w:rPr>
          <w:rFonts w:ascii="宋体" w:hAnsi="宋体" w:hint="eastAsia"/>
        </w:rPr>
        <w:t>23.2.5完整填写“投标关键信息”，如下图所示：</w:t>
      </w:r>
    </w:p>
    <w:p>
      <w:pPr>
        <w:ind w:firstLine="412" w:firstLineChars="196"/>
        <w:rPr>
          <w:rFonts w:ascii="宋体" w:hAnsi="宋体"/>
        </w:rPr>
      </w:pPr>
      <w:r>
        <w:rPr>
          <w:rFonts w:ascii="宋体" w:hAnsi="宋体"/>
        </w:rPr>
        <w:drawing>
          <wp:inline distT="0" distB="0" distL="0" distR="0">
            <wp:extent cx="5278755" cy="2721610"/>
            <wp:effectExtent l="0" t="0" r="0" b="2540"/>
            <wp:docPr id="6" name="图片 6"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b/>
        </w:rPr>
      </w:pPr>
      <w:r>
        <w:rPr>
          <w:rFonts w:ascii="宋体" w:hAnsi="宋体" w:hint="eastAsia"/>
          <w:b/>
        </w:rPr>
        <w:t>备注：上述“开标一览表”中的“投标报价”将作为价格分计算依据；其它信息仅是对投标文件相关内容的概括性表述，不作为评审依据。</w:t>
      </w:r>
    </w:p>
    <w:p>
      <w:pPr>
        <w:ind w:firstLine="412" w:firstLineChars="196"/>
        <w:rPr>
          <w:rFonts w:ascii="宋体" w:hAnsi="宋体"/>
        </w:rPr>
      </w:pPr>
      <w:r>
        <w:rPr>
          <w:rFonts w:ascii="宋体" w:hAnsi="宋体" w:hint="eastAsia"/>
        </w:rPr>
        <w:t>23.2.6投标人在编辑投标文件时，</w:t>
      </w:r>
      <w:r>
        <w:rPr>
          <w:rFonts w:ascii="宋体" w:hAnsi="宋体" w:hint="eastAsia"/>
          <w:b/>
        </w:rPr>
        <w:t>在投标文件目录中属于本节点内容的必须在本节点中填写，填写到其他节点或附件，</w:t>
      </w:r>
      <w:r>
        <w:rPr>
          <w:rFonts w:ascii="宋体" w:hAnsi="宋体" w:hint="eastAsia"/>
        </w:rPr>
        <w:t>一切后果由供应商自行承担。</w:t>
      </w:r>
    </w:p>
    <w:p>
      <w:pPr>
        <w:ind w:firstLine="412" w:firstLineChars="196"/>
        <w:rPr>
          <w:rFonts w:ascii="宋体" w:hAnsi="宋体"/>
        </w:rPr>
      </w:pPr>
      <w:r>
        <w:rPr>
          <w:rFonts w:ascii="宋体" w:hAnsi="宋体" w:hint="eastAsia"/>
        </w:rPr>
        <w:t>23.2.7投标文件编写完成后，</w:t>
      </w:r>
      <w:r>
        <w:rPr>
          <w:rFonts w:ascii="宋体" w:hAnsi="宋体" w:hint="eastAsia"/>
          <w:b/>
        </w:rPr>
        <w:t>必须用属于投标人的电子密钥进行加密，否则视同未盖公章，将导致投标文件无效。</w:t>
      </w:r>
    </w:p>
    <w:p>
      <w:pPr>
        <w:ind w:firstLine="412" w:firstLineChars="196"/>
        <w:rPr>
          <w:rFonts w:ascii="宋体" w:hAnsi="宋体"/>
        </w:rPr>
      </w:pPr>
      <w:r>
        <w:rPr>
          <w:rFonts w:ascii="宋体" w:hAnsi="宋体" w:hint="eastAsia"/>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2" w:firstLineChars="196"/>
        <w:rPr>
          <w:rFonts w:ascii="宋体" w:hAnsi="宋体"/>
        </w:rPr>
      </w:pPr>
      <w:r>
        <w:rPr>
          <w:rFonts w:ascii="宋体" w:hAnsi="宋体" w:hint="eastAsia"/>
        </w:rPr>
        <w:t>23.2.9如果开标时出现网络故障、技术故障，影响了政府采购活动，政府集中采购机构有权采取措施如延期、接受无法从网上上传的投标书等，以保障政府采购活动的公开、公平和公正。</w:t>
      </w:r>
    </w:p>
    <w:p>
      <w:pPr>
        <w:ind w:firstLine="412" w:firstLineChars="196"/>
        <w:rPr>
          <w:rFonts w:ascii="宋体" w:hAnsi="宋体"/>
        </w:rPr>
      </w:pPr>
      <w:r>
        <w:rPr>
          <w:rFonts w:ascii="宋体" w:hAnsi="宋体" w:hint="eastAsia"/>
        </w:rPr>
        <w:t>23.3电报、电话、传真形式的投标概不接受。</w:t>
      </w:r>
    </w:p>
    <w:p>
      <w:pPr>
        <w:ind w:firstLine="412" w:firstLineChars="196"/>
        <w:rPr>
          <w:rFonts w:ascii="宋体" w:hAnsi="宋体"/>
          <w:b/>
        </w:rPr>
      </w:pPr>
      <w:r>
        <w:rPr>
          <w:rFonts w:ascii="宋体" w:hAnsi="宋体" w:hint="eastAsia"/>
          <w:b/>
        </w:rPr>
        <w:t>23.4经投标人电子密钥加密的投标文件无须盖章或签字，</w:t>
      </w:r>
      <w:r>
        <w:rPr>
          <w:rFonts w:ascii="宋体" w:hAnsi="宋体" w:hint="eastAsia"/>
        </w:rPr>
        <w:t>专用条款另有要求的除外。</w:t>
      </w:r>
    </w:p>
    <w:p>
      <w:pPr>
        <w:ind w:firstLine="412" w:firstLineChars="196"/>
        <w:rPr>
          <w:rFonts w:ascii="宋体" w:hAnsi="宋体"/>
        </w:rPr>
      </w:pPr>
      <w:r>
        <w:rPr>
          <w:rFonts w:ascii="宋体" w:hAnsi="宋体" w:hint="eastAsia"/>
          <w:b/>
        </w:rPr>
        <w:t>23.5</w:t>
      </w:r>
      <w:r>
        <w:rPr>
          <w:rFonts w:ascii="宋体" w:hAnsi="宋体" w:hint="eastAsia"/>
        </w:rPr>
        <w:t xml:space="preserve"> 各类资格（资质）文件提供扫描件，专用条款另有要求的除外。</w:t>
      </w:r>
      <w:bookmarkEnd w:id="94"/>
    </w:p>
    <w:p>
      <w:pPr>
        <w:pStyle w:val="Heading2"/>
        <w:numPr>
          <w:ilvl w:val="0"/>
          <w:numId w:val="8"/>
        </w:numPr>
        <w:spacing w:before="120" w:beforeLines="50" w:after="120" w:afterLines="50"/>
        <w:ind w:left="562" w:hanging="562"/>
        <w:rPr>
          <w:sz w:val="28"/>
          <w:szCs w:val="28"/>
        </w:rPr>
      </w:pPr>
      <w:r>
        <w:rPr>
          <w:rFonts w:hint="eastAsia"/>
          <w:sz w:val="28"/>
          <w:szCs w:val="28"/>
        </w:rPr>
        <w:t>投标文件的递交</w:t>
      </w:r>
      <w:bookmarkStart w:id="95" w:name="_Hlk72405459"/>
    </w:p>
    <w:p>
      <w:pPr>
        <w:rPr>
          <w:rFonts w:ascii="黑体" w:eastAsia="黑体" w:hAnsi="宋体"/>
          <w:sz w:val="24"/>
        </w:rPr>
      </w:pPr>
      <w:r>
        <w:rPr>
          <w:rFonts w:ascii="黑体" w:eastAsia="黑体" w:hAnsi="宋体" w:hint="eastAsia"/>
          <w:sz w:val="24"/>
        </w:rPr>
        <w:t>24．投标书的保密</w:t>
      </w:r>
    </w:p>
    <w:p>
      <w:pPr>
        <w:ind w:firstLine="412" w:firstLineChars="196"/>
        <w:rPr>
          <w:rFonts w:ascii="宋体" w:hAnsi="宋体"/>
        </w:rPr>
      </w:pPr>
      <w:r>
        <w:rPr>
          <w:rFonts w:ascii="宋体" w:hAnsi="宋体" w:hint="eastAsia"/>
        </w:rPr>
        <w:t>24.1在投标文件制作完成后，在投标文件制作软件点击【生成标书】按钮进入【填写开标一览表界面】界面，在该界面填写完开标一览表信息后点击【确定】，进入投标文件生成环节。投标文件制作软件会在投标文件生成过程中，提示用户输入密码，输入密码后对标文件自动进行加密，此加密程序确保投标文件在到达开标时间后才能解密查看。在加密过程中，请按照软件提示进行操作。加密操作界面如下图所示：</w:t>
      </w:r>
    </w:p>
    <w:p>
      <w:pPr>
        <w:ind w:firstLine="412" w:firstLineChars="196"/>
        <w:rPr>
          <w:rFonts w:ascii="宋体" w:hAnsi="宋体"/>
        </w:rPr>
      </w:pPr>
      <w:r>
        <w:rPr>
          <w:rFonts w:ascii="宋体" w:hAnsi="宋体"/>
        </w:rPr>
        <w:drawing>
          <wp:inline distT="0" distB="0" distL="0" distR="0">
            <wp:extent cx="5278755" cy="2721610"/>
            <wp:effectExtent l="0" t="0" r="0" b="2540"/>
            <wp:docPr id="7"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形用户界面, 应用程序&#10;&#10;描述已自动生成"/>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21610"/>
                    </a:xfrm>
                    <a:prstGeom prst="rect">
                      <a:avLst/>
                    </a:prstGeom>
                    <a:noFill/>
                    <a:ln>
                      <a:noFill/>
                    </a:ln>
                  </pic:spPr>
                </pic:pic>
              </a:graphicData>
            </a:graphic>
          </wp:inline>
        </w:drawing>
      </w:r>
    </w:p>
    <w:p>
      <w:pPr>
        <w:ind w:firstLine="412" w:firstLineChars="196"/>
        <w:rPr>
          <w:rFonts w:ascii="宋体" w:hAnsi="宋体"/>
        </w:rPr>
      </w:pPr>
      <w:r>
        <w:rPr>
          <w:rFonts w:ascii="宋体" w:hAnsi="宋体" w:hint="eastAsia"/>
        </w:rPr>
        <w:t>在投标文件制作软件点击【生成标书】按钮进入【填写开标一览表界面】界面，在该界面填写完开标一览表信息后点击【确定】，进入投标文件生成环节。</w:t>
      </w:r>
      <w:r>
        <w:rPr>
          <w:rFonts w:ascii="宋体" w:hAnsi="宋体"/>
        </w:rPr>
        <w:drawing>
          <wp:inline distT="0" distB="0" distL="0" distR="0">
            <wp:extent cx="5278755" cy="2732405"/>
            <wp:effectExtent l="0" t="0" r="0" b="0"/>
            <wp:docPr id="8"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形用户界面&#10;&#10;描述已自动生成"/>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278755" cy="2732405"/>
                    </a:xfrm>
                    <a:prstGeom prst="rect">
                      <a:avLst/>
                    </a:prstGeom>
                    <a:noFill/>
                    <a:ln>
                      <a:noFill/>
                    </a:ln>
                  </pic:spPr>
                </pic:pic>
              </a:graphicData>
            </a:graphic>
          </wp:inline>
        </w:drawing>
      </w:r>
    </w:p>
    <w:p>
      <w:pPr>
        <w:ind w:firstLine="412" w:firstLineChars="196"/>
        <w:rPr>
          <w:rFonts w:ascii="宋体" w:hAnsi="宋体"/>
        </w:rPr>
      </w:pPr>
      <w:r>
        <w:rPr>
          <w:rFonts w:ascii="宋体" w:hAnsi="宋体" w:hint="eastAsia"/>
        </w:rPr>
        <w:t>投标文件制作软件会在投标文件生成过程中，提示用户输入密码，输入密码后对投标文件自动进行加密。</w:t>
      </w:r>
    </w:p>
    <w:p>
      <w:pPr>
        <w:ind w:firstLine="420" w:firstLineChars="200"/>
        <w:rPr>
          <w:rFonts w:ascii="宋体" w:hAnsi="宋体"/>
          <w:b/>
        </w:rPr>
      </w:pPr>
      <w:r>
        <w:rPr>
          <w:rFonts w:ascii="宋体" w:hAnsi="宋体" w:hint="eastAsia"/>
          <w:b/>
        </w:rPr>
        <w:t>24.2若采购项目出现延期情况：</w:t>
      </w:r>
    </w:p>
    <w:p>
      <w:pPr>
        <w:ind w:firstLine="420" w:firstLineChars="200"/>
        <w:rPr>
          <w:rFonts w:ascii="黑体" w:eastAsia="黑体" w:hAnsi="宋体"/>
          <w:b/>
          <w:sz w:val="24"/>
        </w:rPr>
      </w:pPr>
      <w:r>
        <w:rPr>
          <w:rFonts w:ascii="宋体" w:hAnsi="宋体" w:hint="eastAsia"/>
          <w:b/>
        </w:rPr>
        <w:t>如果供下载的招标文件（后缀名为.</w:t>
      </w:r>
      <w:r>
        <w:rPr>
          <w:rFonts w:ascii="宋体" w:hAnsi="宋体"/>
          <w:b/>
        </w:rPr>
        <w:t>szczf</w:t>
      </w:r>
      <w:r>
        <w:rPr>
          <w:rFonts w:ascii="宋体" w:hAnsi="宋体" w:hint="eastAsia"/>
          <w:b/>
        </w:rPr>
        <w:t>）有更新，投标人必须重新下载招标文件、重新制作投标文件、重新加密投标文件、重新上传投标文件；如果供下载的招标文件（后缀名为.</w:t>
      </w:r>
      <w:r>
        <w:rPr>
          <w:rFonts w:ascii="宋体" w:hAnsi="宋体"/>
          <w:b/>
        </w:rPr>
        <w:t>szczf</w:t>
      </w:r>
      <w:r>
        <w:rPr>
          <w:rFonts w:ascii="宋体" w:hAnsi="宋体" w:hint="eastAsia"/>
          <w:b/>
        </w:rPr>
        <w:t>）没有更新，投标人必须重新加密投标文件、重新上传投标文件（是否重新制作投标文件根据项目实际情况定）。否则，投标人自行承担投标文件无法解密导致投标无效的后果。</w:t>
      </w:r>
    </w:p>
    <w:p>
      <w:pPr>
        <w:rPr>
          <w:rFonts w:ascii="黑体" w:eastAsia="黑体" w:hAnsi="宋体"/>
          <w:sz w:val="24"/>
        </w:rPr>
      </w:pPr>
      <w:r>
        <w:rPr>
          <w:rFonts w:ascii="黑体" w:eastAsia="黑体" w:hAnsi="宋体" w:hint="eastAsia"/>
          <w:sz w:val="24"/>
        </w:rPr>
        <w:t>25．上传投标文件及投标截止日期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1实行网上投标，</w:t>
      </w:r>
      <w:r>
        <w:rPr>
          <w:rFonts w:ascii="宋体" w:hAnsi="宋体"/>
        </w:rPr>
        <w:t>投标人必须</w:t>
      </w:r>
      <w:r>
        <w:rPr>
          <w:rFonts w:ascii="宋体" w:hAnsi="宋体" w:hint="eastAsia"/>
        </w:rPr>
        <w:t>在招标</w:t>
      </w:r>
      <w:r>
        <w:rPr>
          <w:rFonts w:ascii="宋体" w:hAnsi="宋体"/>
        </w:rPr>
        <w:t>文件规定的投标截止时间前</w:t>
      </w:r>
      <w:r>
        <w:rPr>
          <w:rFonts w:ascii="宋体" w:hAnsi="宋体" w:hint="eastAsia"/>
        </w:rPr>
        <w:t>用电子密钥登录“深圳政府采购智慧平台用户网上办事子系统（http://zfcg.szggzy.com:8081/TPBidder/memberLogin）”，用“【我的项目】→【项目流程】→【递交投标(应答)文件】”功能点上传投标文件。如上传过程中遇到问题，可拨打技术支持电话，联系方式：0755-88653300，转6。</w:t>
      </w:r>
    </w:p>
    <w:p>
      <w:pPr>
        <w:ind w:firstLine="412" w:firstLineChars="196"/>
        <w:rPr>
          <w:rFonts w:ascii="宋体" w:hAnsi="宋体"/>
        </w:rPr>
      </w:pPr>
      <w:r>
        <w:rPr>
          <w:rFonts w:ascii="宋体" w:hAnsi="宋体" w:hint="eastAsia"/>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2" w:firstLineChars="196"/>
        <w:rPr>
          <w:rFonts w:ascii="宋体" w:hAnsi="宋体"/>
        </w:rPr>
      </w:pPr>
      <w:r>
        <w:rPr>
          <w:rFonts w:ascii="宋体" w:hAnsi="宋体" w:hint="eastAsia"/>
        </w:rPr>
        <w:t>25</w:t>
      </w:r>
      <w:r>
        <w:rPr>
          <w:rFonts w:ascii="宋体" w:hAnsi="宋体"/>
        </w:rPr>
        <w:t>.</w:t>
      </w:r>
      <w:r>
        <w:rPr>
          <w:rFonts w:ascii="宋体" w:hAnsi="宋体" w:hint="eastAsia"/>
        </w:rPr>
        <w:t>3投标截止时间以后不得上传投标文件。</w:t>
      </w:r>
    </w:p>
    <w:p>
      <w:pPr>
        <w:ind w:firstLine="412" w:firstLineChars="196"/>
        <w:rPr>
          <w:rFonts w:ascii="宋体" w:hAnsi="宋体"/>
        </w:rPr>
      </w:pPr>
      <w:r>
        <w:rPr>
          <w:rFonts w:ascii="宋体" w:hAnsi="宋体" w:hint="eastAsia"/>
        </w:rPr>
        <w:t>25.4.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rPr>
          <w:rFonts w:ascii="黑体" w:eastAsia="黑体" w:hAnsi="宋体"/>
          <w:sz w:val="24"/>
        </w:rPr>
      </w:pPr>
      <w:bookmarkEnd w:id="95"/>
      <w:r>
        <w:rPr>
          <w:rFonts w:ascii="黑体" w:eastAsia="黑体" w:hAnsi="宋体" w:hint="eastAsia"/>
          <w:sz w:val="24"/>
        </w:rPr>
        <w:t>26. 样品、演示、方案讲解</w:t>
      </w:r>
    </w:p>
    <w:p>
      <w:pPr>
        <w:ind w:firstLine="412" w:firstLineChars="196"/>
        <w:rPr>
          <w:rFonts w:ascii="宋体" w:hAnsi="宋体"/>
          <w:szCs w:val="21"/>
        </w:rPr>
      </w:pPr>
      <w:r>
        <w:rPr>
          <w:rFonts w:ascii="宋体" w:hAnsi="宋体" w:hint="eastAsia"/>
          <w:szCs w:val="21"/>
        </w:rPr>
        <w:t>26.1 样品、演示、方案讲解等事项在招标文件专用条款中进行规定。</w:t>
      </w:r>
    </w:p>
    <w:p>
      <w:pPr>
        <w:rPr>
          <w:rFonts w:ascii="黑体" w:eastAsia="黑体" w:hAnsi="宋体"/>
          <w:sz w:val="24"/>
        </w:rPr>
      </w:pPr>
      <w:bookmarkStart w:id="96" w:name="_Hlk72428346"/>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投标方在提交投标文件后可对其投标文件进行修改</w:t>
      </w:r>
      <w:r>
        <w:rPr>
          <w:rFonts w:ascii="宋体" w:hAnsi="宋体" w:hint="eastAsia"/>
        </w:rPr>
        <w:t>并重新上传投标文件</w:t>
      </w:r>
      <w:r>
        <w:rPr>
          <w:rFonts w:ascii="宋体" w:hAnsi="宋体"/>
        </w:rPr>
        <w:t>或</w:t>
      </w:r>
      <w:r>
        <w:rPr>
          <w:rFonts w:ascii="宋体" w:hAnsi="宋体" w:hint="eastAsia"/>
        </w:rPr>
        <w:t>在网上进行</w:t>
      </w:r>
      <w:r>
        <w:rPr>
          <w:rFonts w:ascii="宋体" w:hAnsi="宋体"/>
        </w:rPr>
        <w:t>撤销</w:t>
      </w:r>
      <w:r>
        <w:rPr>
          <w:rFonts w:ascii="宋体" w:hAnsi="宋体" w:hint="eastAsia"/>
        </w:rPr>
        <w:t>投标的操作</w:t>
      </w:r>
      <w:r>
        <w:rPr>
          <w:rFonts w:ascii="宋体" w:hAnsi="宋体"/>
        </w:rPr>
        <w:t>。</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pPr>
        <w:ind w:firstLine="412" w:firstLineChars="196"/>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3从投标截止期至投标人在投标文件中确定的投标有效期之间的这段时间内，投标人不得撤回其投标。</w:t>
      </w:r>
    </w:p>
    <w:p>
      <w:pPr>
        <w:ind w:firstLine="412" w:firstLineChars="196"/>
        <w:rPr>
          <w:rFonts w:ascii="宋体" w:hAnsi="宋体"/>
          <w:szCs w:val="21"/>
        </w:rPr>
      </w:pPr>
      <w:r>
        <w:rPr>
          <w:rFonts w:ascii="宋体" w:hAnsi="宋体" w:hint="eastAsia"/>
          <w:szCs w:val="21"/>
        </w:rPr>
        <w:t>27.4政府集中采购机构不退还投标文件，专用条款另有规定的除外。</w:t>
      </w:r>
    </w:p>
    <w:p>
      <w:pPr>
        <w:pStyle w:val="Heading2"/>
        <w:numPr>
          <w:ilvl w:val="0"/>
          <w:numId w:val="8"/>
        </w:numPr>
        <w:spacing w:before="120" w:beforeLines="50" w:after="120" w:afterLines="50"/>
        <w:ind w:left="562" w:hanging="562"/>
        <w:rPr>
          <w:sz w:val="28"/>
          <w:szCs w:val="28"/>
        </w:rPr>
      </w:pPr>
      <w:bookmarkEnd w:id="96"/>
      <w:r>
        <w:rPr>
          <w:rFonts w:hint="eastAsia"/>
          <w:sz w:val="28"/>
          <w:szCs w:val="28"/>
        </w:rPr>
        <w:t>开标</w:t>
      </w:r>
    </w:p>
    <w:p>
      <w:pPr>
        <w:rPr>
          <w:rFonts w:ascii="黑体" w:eastAsia="黑体" w:hAnsi="宋体"/>
          <w:sz w:val="24"/>
        </w:rPr>
      </w:pPr>
      <w:r>
        <w:rPr>
          <w:rFonts w:ascii="黑体" w:eastAsia="黑体" w:hAnsi="宋体" w:hint="eastAsia"/>
          <w:sz w:val="24"/>
        </w:rPr>
        <w:t>28．开标</w:t>
      </w:r>
    </w:p>
    <w:p>
      <w:pPr>
        <w:ind w:firstLine="420" w:firstLineChars="200"/>
        <w:rPr>
          <w:rFonts w:ascii="宋体" w:hAnsi="宋体"/>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rPr>
        <w:t>投标人须在开标当日的开标时间至解密截止时间内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ind w:firstLine="359" w:firstLineChars="171"/>
        <w:rPr>
          <w:rFonts w:ascii="宋体" w:hAnsi="宋体"/>
          <w:szCs w:val="21"/>
        </w:rPr>
      </w:pPr>
      <w:r>
        <w:rPr>
          <w:rFonts w:ascii="宋体" w:hAnsi="宋体" w:hint="eastAsia"/>
          <w:szCs w:val="21"/>
        </w:rPr>
        <w:t>2</w:t>
      </w:r>
      <w:r>
        <w:rPr>
          <w:rFonts w:ascii="宋体" w:hAnsi="宋体"/>
          <w:szCs w:val="21"/>
        </w:rPr>
        <w:t xml:space="preserve">8.2 </w:t>
      </w:r>
      <w:r>
        <w:rPr>
          <w:rFonts w:ascii="宋体" w:hAnsi="宋体" w:hint="eastAsia"/>
          <w:szCs w:val="21"/>
        </w:rPr>
        <w:t>政府集中采购机构将在满足开标条件（</w:t>
      </w:r>
      <w:r>
        <w:rPr>
          <w:rFonts w:ascii="宋体" w:hAnsi="宋体" w:cs="宋体" w:hint="eastAsia"/>
          <w:color w:val="333333"/>
          <w:sz w:val="20"/>
          <w:szCs w:val="20"/>
          <w:shd w:val="clear" w:color="auto" w:fill="FFFFFF"/>
        </w:rPr>
        <w:t>①</w:t>
      </w:r>
      <w:r>
        <w:rPr>
          <w:rFonts w:ascii="宋体" w:hAnsi="宋体" w:hint="eastAsia"/>
          <w:szCs w:val="21"/>
        </w:rPr>
        <w:t>解密时间结束，解密后的投标供应商数量满足开标要求或</w:t>
      </w:r>
      <w:r>
        <w:rPr>
          <w:rFonts w:ascii="宋体" w:hAnsi="宋体" w:cs="宋体" w:hint="eastAsia"/>
          <w:color w:val="333333"/>
          <w:sz w:val="20"/>
          <w:szCs w:val="20"/>
          <w:shd w:val="clear" w:color="auto" w:fill="FFFFFF"/>
        </w:rPr>
        <w:t>②</w:t>
      </w:r>
      <w:r>
        <w:rPr>
          <w:rFonts w:ascii="宋体" w:hAnsi="宋体" w:hint="eastAsia"/>
          <w:szCs w:val="21"/>
        </w:rPr>
        <w:t>解密时间结束前所有投标供应商均完成投标文件解密）后，对投标文件进行开标，并在网上公布开标结果。</w:t>
      </w:r>
    </w:p>
    <w:p>
      <w:pPr>
        <w:pStyle w:val="Heading2"/>
        <w:numPr>
          <w:ilvl w:val="0"/>
          <w:numId w:val="8"/>
        </w:numPr>
        <w:spacing w:before="120" w:beforeLines="50" w:after="120" w:afterLines="50"/>
        <w:ind w:left="562" w:hanging="562"/>
        <w:rPr>
          <w:sz w:val="28"/>
          <w:szCs w:val="28"/>
        </w:rPr>
      </w:pPr>
      <w:r>
        <w:rPr>
          <w:rFonts w:hint="eastAsia"/>
          <w:sz w:val="28"/>
          <w:szCs w:val="28"/>
        </w:rPr>
        <w:t>评审要求</w:t>
      </w:r>
    </w:p>
    <w:p>
      <w:pPr>
        <w:rPr>
          <w:rFonts w:ascii="黑体" w:eastAsia="黑体" w:hAnsi="宋体"/>
          <w:sz w:val="24"/>
        </w:rPr>
      </w:pPr>
      <w:r>
        <w:rPr>
          <w:rFonts w:ascii="黑体" w:eastAsia="黑体" w:hAnsi="宋体" w:hint="eastAsia"/>
          <w:sz w:val="24"/>
        </w:rPr>
        <w:t>29．评审委员会组成</w:t>
      </w:r>
    </w:p>
    <w:p>
      <w:pPr>
        <w:ind w:firstLine="412" w:firstLineChars="196"/>
        <w:rPr>
          <w:rFonts w:ascii="宋体" w:hAnsi="宋体"/>
        </w:rPr>
      </w:pPr>
      <w:r>
        <w:rPr>
          <w:rFonts w:ascii="宋体" w:hAnsi="宋体" w:hint="eastAsia"/>
        </w:rPr>
        <w:t>29.1网上开标结束后召开评审会议，</w:t>
      </w:r>
      <w:r>
        <w:rPr>
          <w:rFonts w:ascii="宋体" w:hAnsi="宋体" w:hint="eastAsia"/>
          <w:szCs w:val="21"/>
        </w:rPr>
        <w:t>评审委员会</w:t>
      </w:r>
      <w:r>
        <w:rPr>
          <w:rFonts w:ascii="宋体" w:hAnsi="宋体" w:hint="eastAsia"/>
        </w:rPr>
        <w:t>由政府集中采购机构依法组建，负责评审活动。</w:t>
      </w:r>
    </w:p>
    <w:p>
      <w:pPr>
        <w:ind w:firstLine="412" w:firstLineChars="196"/>
        <w:rPr>
          <w:rFonts w:ascii="宋体" w:hAnsi="宋体"/>
        </w:rPr>
      </w:pPr>
      <w:bookmarkStart w:id="97" w:name="_Hlk72436580"/>
      <w:r>
        <w:rPr>
          <w:rFonts w:ascii="宋体" w:hAnsi="宋体" w:hint="eastAsia"/>
        </w:rPr>
        <w:t>评审委员会由采购人代表和评审专家组成，成员人数应当为5人以上单数（部分条件下为7人以上单数），其中评审专家不得少于成员总数的三分之二。</w:t>
      </w:r>
      <w:bookmarkEnd w:id="97"/>
      <w:r>
        <w:rPr>
          <w:rFonts w:ascii="宋体" w:hAnsi="宋体" w:hint="eastAsia"/>
        </w:rPr>
        <w:t>评定</w:t>
      </w:r>
      <w:r>
        <w:rPr>
          <w:rFonts w:hint="eastAsia"/>
        </w:rPr>
        <w:t>分离项目</w:t>
      </w:r>
      <w:r>
        <w:t>评审专家</w:t>
      </w:r>
      <w:r>
        <w:rPr>
          <w:rFonts w:hint="eastAsia"/>
        </w:rPr>
        <w:t>均</w:t>
      </w:r>
      <w:r>
        <w:t>由</w:t>
      </w:r>
      <w:r>
        <w:rPr>
          <w:rFonts w:hint="eastAsia"/>
        </w:rPr>
        <w:t>评审专家组成。</w:t>
      </w:r>
      <w:r>
        <w:rPr>
          <w:rFonts w:ascii="宋体" w:hAnsi="宋体" w:hint="eastAsia"/>
          <w:szCs w:val="21"/>
        </w:rPr>
        <w:t>评审专家一般是</w:t>
      </w:r>
      <w:r>
        <w:rPr>
          <w:rFonts w:ascii="宋体" w:hAnsi="宋体" w:hint="eastAsia"/>
        </w:rPr>
        <w:t>从深圳市政府采购评审专家库中随机抽取。采购人代表须持采购人出具的《评审授权书》参加评审，。</w:t>
      </w:r>
    </w:p>
    <w:p>
      <w:pPr>
        <w:ind w:firstLine="412" w:firstLineChars="196"/>
        <w:rPr>
          <w:rFonts w:ascii="宋体" w:hAnsi="宋体"/>
        </w:rPr>
      </w:pPr>
      <w:r>
        <w:rPr>
          <w:rFonts w:ascii="宋体" w:hAnsi="宋体" w:hint="eastAsia"/>
        </w:rPr>
        <w:t>29.2评审定标应当遵循公平、公正、科学、择优的原则。</w:t>
      </w:r>
    </w:p>
    <w:p>
      <w:pPr>
        <w:ind w:firstLine="412" w:firstLineChars="196"/>
        <w:rPr>
          <w:rFonts w:ascii="宋体" w:hAnsi="宋体"/>
        </w:rPr>
      </w:pPr>
      <w:r>
        <w:rPr>
          <w:rFonts w:ascii="宋体" w:hAnsi="宋体" w:hint="eastAsia"/>
        </w:rPr>
        <w:t>29.3评审活动依法进行，任何单位和个人不得非法干预评标过程和结果。</w:t>
      </w:r>
    </w:p>
    <w:p>
      <w:pPr>
        <w:ind w:firstLine="412" w:firstLineChars="196"/>
        <w:rPr>
          <w:rFonts w:ascii="宋体" w:hAnsi="宋体"/>
        </w:rPr>
      </w:pPr>
      <w:r>
        <w:rPr>
          <w:rFonts w:ascii="宋体" w:hAnsi="宋体" w:hint="eastAsia"/>
        </w:rPr>
        <w:t>29.4评审过程中不允许违背评标程序或采用招标文件未载明的评标方法或评标因素进行评标。</w:t>
      </w:r>
    </w:p>
    <w:p>
      <w:pPr>
        <w:ind w:firstLine="412" w:firstLineChars="196"/>
        <w:rPr>
          <w:rFonts w:ascii="宋体" w:hAnsi="宋体"/>
          <w:bCs/>
        </w:rPr>
      </w:pPr>
      <w:r>
        <w:rPr>
          <w:rFonts w:ascii="宋体" w:hAnsi="宋体" w:hint="eastAsia"/>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ascii="宋体" w:hAnsi="宋体" w:hint="eastAsia"/>
          <w:bCs/>
        </w:rPr>
        <w:t>）。</w:t>
      </w:r>
    </w:p>
    <w:p>
      <w:pPr>
        <w:rPr>
          <w:rFonts w:ascii="黑体" w:eastAsia="黑体" w:hAnsi="宋体"/>
          <w:sz w:val="24"/>
        </w:rPr>
      </w:pPr>
      <w:r>
        <w:rPr>
          <w:rFonts w:ascii="黑体" w:eastAsia="黑体" w:hAnsi="宋体" w:hint="eastAsia"/>
          <w:sz w:val="24"/>
        </w:rPr>
        <w:t>30．向评审委员会提供的资料</w:t>
      </w:r>
    </w:p>
    <w:p>
      <w:pPr>
        <w:ind w:firstLine="412" w:firstLineChars="196"/>
        <w:rPr>
          <w:rFonts w:ascii="宋体" w:hAnsi="宋体"/>
        </w:rPr>
      </w:pPr>
      <w:r>
        <w:rPr>
          <w:rFonts w:ascii="宋体" w:hAnsi="宋体" w:hint="eastAsia"/>
        </w:rPr>
        <w:t>30.1公开发布的招标文件，包括图纸、服务清单、答疑文件等；</w:t>
      </w:r>
    </w:p>
    <w:p>
      <w:pPr>
        <w:ind w:firstLine="412" w:firstLineChars="196"/>
        <w:rPr>
          <w:rFonts w:ascii="宋体" w:hAnsi="宋体"/>
        </w:rPr>
      </w:pPr>
      <w:r>
        <w:rPr>
          <w:rFonts w:ascii="宋体" w:hAnsi="宋体" w:hint="eastAsia"/>
        </w:rPr>
        <w:t>30.2其他评标必须的资料。</w:t>
      </w:r>
    </w:p>
    <w:p>
      <w:pPr>
        <w:ind w:firstLine="412" w:firstLineChars="196"/>
        <w:rPr>
          <w:rFonts w:ascii="宋体" w:hAnsi="宋体"/>
        </w:rPr>
      </w:pPr>
      <w:r>
        <w:rPr>
          <w:rFonts w:ascii="宋体" w:hAnsi="宋体" w:hint="eastAsia"/>
        </w:rPr>
        <w:t>30.3</w:t>
      </w:r>
      <w:r>
        <w:rPr>
          <w:rFonts w:ascii="宋体" w:hAnsi="宋体" w:hint="eastAsia"/>
          <w:szCs w:val="21"/>
        </w:rPr>
        <w:t>评审委员会</w:t>
      </w:r>
      <w:r>
        <w:rPr>
          <w:rFonts w:ascii="宋体" w:hAnsi="宋体" w:hint="eastAsia"/>
        </w:rPr>
        <w:t>应当认真研究招标文件，至少应了解熟悉以下内容：</w:t>
      </w:r>
    </w:p>
    <w:p>
      <w:pPr>
        <w:ind w:firstLine="412" w:firstLineChars="196"/>
        <w:rPr>
          <w:rFonts w:ascii="宋体" w:hAnsi="宋体"/>
        </w:rPr>
      </w:pPr>
      <w:r>
        <w:rPr>
          <w:rFonts w:ascii="宋体" w:hAnsi="宋体" w:hint="eastAsia"/>
        </w:rPr>
        <w:t>（1）招标的目的；</w:t>
      </w:r>
    </w:p>
    <w:p>
      <w:pPr>
        <w:ind w:firstLine="412" w:firstLineChars="196"/>
        <w:rPr>
          <w:rFonts w:ascii="宋体" w:hAnsi="宋体"/>
        </w:rPr>
      </w:pPr>
      <w:r>
        <w:rPr>
          <w:rFonts w:ascii="宋体" w:hAnsi="宋体" w:hint="eastAsia"/>
        </w:rPr>
        <w:t>（2）招标项目需求的范围和性质；</w:t>
      </w:r>
    </w:p>
    <w:p>
      <w:pPr>
        <w:ind w:firstLine="412" w:firstLineChars="196"/>
        <w:rPr>
          <w:rFonts w:ascii="宋体" w:hAnsi="宋体"/>
        </w:rPr>
      </w:pPr>
      <w:r>
        <w:rPr>
          <w:rFonts w:ascii="宋体" w:hAnsi="宋体" w:hint="eastAsia"/>
        </w:rPr>
        <w:t>（3）招标文件规定的投标人的资格、预算金额、商务条款；</w:t>
      </w:r>
    </w:p>
    <w:p>
      <w:pPr>
        <w:ind w:firstLine="412" w:firstLineChars="196"/>
        <w:rPr>
          <w:rFonts w:ascii="宋体" w:hAnsi="宋体"/>
        </w:rPr>
      </w:pPr>
      <w:r>
        <w:rPr>
          <w:rFonts w:ascii="宋体" w:hAnsi="宋体" w:hint="eastAsia"/>
        </w:rPr>
        <w:t>（4）招标文件规定的评标程序、评标方法和评标因素；</w:t>
      </w:r>
    </w:p>
    <w:p>
      <w:pPr>
        <w:ind w:firstLine="412" w:firstLineChars="196"/>
        <w:rPr>
          <w:rFonts w:ascii="宋体" w:hAnsi="宋体"/>
        </w:rPr>
      </w:pPr>
      <w:r>
        <w:rPr>
          <w:rFonts w:ascii="宋体" w:hAnsi="宋体" w:hint="eastAsia"/>
        </w:rPr>
        <w:t>（5）招标文件所列示的资格性审查表及符合性审查表。</w:t>
      </w:r>
    </w:p>
    <w:p>
      <w:pPr>
        <w:rPr>
          <w:rFonts w:ascii="黑体" w:eastAsia="黑体" w:hAnsi="宋体"/>
          <w:sz w:val="24"/>
        </w:rPr>
      </w:pPr>
      <w:r>
        <w:rPr>
          <w:rFonts w:ascii="黑体" w:eastAsia="黑体" w:hAnsi="宋体" w:hint="eastAsia"/>
          <w:sz w:val="24"/>
        </w:rPr>
        <w:t>31．独立评审</w:t>
      </w:r>
    </w:p>
    <w:p>
      <w:pPr>
        <w:ind w:firstLine="412" w:firstLineChars="196"/>
        <w:rPr>
          <w:rFonts w:ascii="宋体" w:hAnsi="宋体"/>
          <w:bCs/>
        </w:rPr>
      </w:pPr>
      <w:r>
        <w:rPr>
          <w:rFonts w:ascii="宋体" w:hAnsi="宋体" w:hint="eastAsia"/>
          <w:bCs/>
        </w:rPr>
        <w:t>3</w:t>
      </w:r>
      <w:r>
        <w:rPr>
          <w:rFonts w:ascii="宋体" w:hAnsi="宋体"/>
          <w:bCs/>
        </w:rPr>
        <w:t>1</w:t>
      </w:r>
      <w:r>
        <w:rPr>
          <w:rFonts w:ascii="宋体" w:hAnsi="宋体" w:hint="eastAsia"/>
          <w:bCs/>
        </w:rPr>
        <w:t>.1</w:t>
      </w:r>
      <w:r>
        <w:rPr>
          <w:rFonts w:ascii="宋体" w:hAnsi="宋体" w:hint="eastAsia"/>
          <w:szCs w:val="21"/>
        </w:rPr>
        <w:t>评审委员会</w:t>
      </w:r>
      <w:r>
        <w:rPr>
          <w:rFonts w:ascii="宋体" w:hAnsi="宋体" w:hint="eastAsia"/>
          <w:bCs/>
        </w:rPr>
        <w:t>成员的评标活动应当独立进行，并应遵循投标文件初审、澄清有关问题、比较与评价、确定中标供应商、编写评审报告的工作程序。</w:t>
      </w:r>
    </w:p>
    <w:p>
      <w:pPr>
        <w:pStyle w:val="Heading2"/>
        <w:numPr>
          <w:ilvl w:val="0"/>
          <w:numId w:val="8"/>
        </w:numPr>
        <w:spacing w:before="120" w:beforeLines="50" w:after="120" w:afterLines="50"/>
        <w:ind w:left="562" w:hanging="562"/>
        <w:rPr>
          <w:sz w:val="28"/>
          <w:szCs w:val="28"/>
        </w:rPr>
      </w:pPr>
      <w:r>
        <w:rPr>
          <w:rFonts w:hint="eastAsia"/>
          <w:sz w:val="28"/>
          <w:szCs w:val="28"/>
        </w:rPr>
        <w:t>评审程序及评审方法</w:t>
      </w:r>
    </w:p>
    <w:p>
      <w:pPr>
        <w:rPr>
          <w:rFonts w:ascii="黑体" w:eastAsia="黑体" w:hAnsi="宋体"/>
          <w:sz w:val="24"/>
        </w:rPr>
      </w:pPr>
      <w:r>
        <w:rPr>
          <w:rFonts w:ascii="黑体" w:eastAsia="黑体" w:hAnsi="宋体" w:hint="eastAsia"/>
          <w:sz w:val="24"/>
        </w:rPr>
        <w:t>32．投标文件初审</w:t>
      </w:r>
    </w:p>
    <w:p>
      <w:pPr>
        <w:ind w:firstLine="412" w:firstLineChars="196"/>
        <w:rPr>
          <w:rFonts w:ascii="宋体" w:hAnsi="宋体"/>
        </w:rPr>
      </w:pPr>
      <w:r>
        <w:rPr>
          <w:rFonts w:ascii="宋体" w:hAnsi="宋体" w:hint="eastAsia"/>
        </w:rPr>
        <w:t>32.1投标文件初审包括资格性审查和符合性审查。</w:t>
      </w:r>
    </w:p>
    <w:p>
      <w:pPr>
        <w:ind w:firstLine="412" w:firstLineChars="196"/>
        <w:rPr>
          <w:rFonts w:ascii="宋体" w:hAnsi="宋体"/>
        </w:rPr>
      </w:pPr>
      <w:r>
        <w:rPr>
          <w:rFonts w:ascii="宋体" w:hAnsi="宋体" w:hint="eastAsia"/>
        </w:rPr>
        <w:t>资格性审查：依据法律法规和招标文件的规定，对投标文件中的资格证明等进行审查，以确定投标供应商是否具备投标资格。</w:t>
      </w:r>
    </w:p>
    <w:p>
      <w:pPr>
        <w:ind w:firstLine="412" w:firstLineChars="196"/>
        <w:rPr>
          <w:rFonts w:ascii="宋体" w:hAnsi="宋体"/>
        </w:rPr>
      </w:pPr>
      <w:r>
        <w:rPr>
          <w:rFonts w:ascii="宋体" w:hAnsi="宋体" w:hint="eastAsia"/>
        </w:rPr>
        <w:t>符合性审查：依据招标文件的规定，对投标文件的有效性、完整性和对招标文件的响应程度进行审查，以确定是否满足符合性审查的要求。</w:t>
      </w:r>
    </w:p>
    <w:p>
      <w:pPr>
        <w:ind w:firstLine="412" w:firstLineChars="196"/>
        <w:rPr>
          <w:rFonts w:ascii="宋体" w:hAnsi="宋体"/>
        </w:rPr>
      </w:pPr>
      <w:r>
        <w:rPr>
          <w:rFonts w:ascii="宋体" w:hAnsi="宋体" w:hint="eastAsia"/>
        </w:rPr>
        <w:t>32.2 投标文件初审内容请详见《资格性审查表》和《符合性审查表》部分。投标人若有一条审查不通过则按投标无效处理。</w:t>
      </w:r>
    </w:p>
    <w:p>
      <w:pPr>
        <w:ind w:firstLine="412" w:firstLineChars="196"/>
        <w:rPr>
          <w:rFonts w:ascii="宋体" w:hAnsi="宋体"/>
          <w:bCs/>
        </w:rPr>
      </w:pPr>
      <w:r>
        <w:rPr>
          <w:rFonts w:ascii="宋体" w:hAnsi="宋体" w:hint="eastAsia"/>
          <w:bCs/>
        </w:rPr>
        <w:t>32.3 投标文件初审中关于供应商家数的计算:</w:t>
      </w:r>
    </w:p>
    <w:p>
      <w:pPr>
        <w:ind w:firstLine="412" w:firstLineChars="196"/>
        <w:rPr>
          <w:rFonts w:ascii="宋体" w:hAnsi="宋体"/>
          <w:bCs/>
        </w:rPr>
      </w:pPr>
      <w:r>
        <w:rPr>
          <w:rFonts w:ascii="宋体" w:hAnsi="宋体" w:hint="eastAsia"/>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2" w:firstLineChars="196"/>
        <w:rPr>
          <w:rFonts w:ascii="宋体" w:hAnsi="宋体"/>
          <w:bCs/>
        </w:rPr>
      </w:pPr>
      <w:r>
        <w:rPr>
          <w:rFonts w:ascii="宋体" w:hAnsi="宋体" w:hint="eastAsia"/>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ascii="宋体" w:hAnsi="宋体" w:hint="eastAsia"/>
          <w:bCs/>
          <w:szCs w:val="21"/>
        </w:rPr>
        <w:t>评审委员会</w:t>
      </w:r>
      <w:r>
        <w:rPr>
          <w:rFonts w:ascii="宋体" w:hAnsi="宋体" w:hint="eastAsia"/>
          <w:bCs/>
        </w:rPr>
        <w:t>按照招标文件规定的方式确定一个投标人获得中标人推荐资格，招标文件未规定的采取随机抽取方式确定，其他同品牌投标人不作为中标候选人。</w:t>
      </w:r>
    </w:p>
    <w:p>
      <w:pPr>
        <w:ind w:firstLine="412" w:firstLineChars="196"/>
        <w:rPr>
          <w:rFonts w:ascii="宋体" w:hAnsi="宋体"/>
          <w:bCs/>
        </w:rPr>
      </w:pPr>
      <w:r>
        <w:rPr>
          <w:rFonts w:ascii="宋体" w:hAnsi="宋体" w:hint="eastAsia"/>
          <w:bCs/>
        </w:rPr>
        <w:t>32.3.3非单一产品采购项目，采购人应当根据采购项目技术构成、产品价格比重等合理确定核心产品，并在招标文件中载明。多家投标人提供的核心产品品牌相同的，按前两款规定处理。</w:t>
      </w:r>
    </w:p>
    <w:p>
      <w:pPr>
        <w:ind w:firstLine="412" w:firstLineChars="196"/>
        <w:rPr>
          <w:rFonts w:ascii="宋体" w:hAnsi="宋体"/>
        </w:rPr>
      </w:pPr>
      <w:r>
        <w:rPr>
          <w:rFonts w:ascii="宋体" w:hAnsi="宋体" w:hint="eastAsia"/>
        </w:rPr>
        <w:t>32.4投标人投标文件作无效处理的情形，具体包括但不限于以下：</w:t>
      </w:r>
    </w:p>
    <w:p>
      <w:pPr>
        <w:ind w:firstLine="412" w:firstLineChars="196"/>
      </w:pPr>
      <w:r>
        <w:rPr>
          <w:rFonts w:ascii="宋体" w:hAnsi="宋体" w:hint="eastAsia"/>
        </w:rPr>
        <w:t>32.4.1</w:t>
      </w:r>
      <w:r>
        <w:rPr>
          <w:rFonts w:hint="eastAsia"/>
        </w:rPr>
        <w:t>不同投标人的投标文件由同一单位或者同一个人编制，或者由同一个人分阶段参与编制；</w:t>
      </w:r>
    </w:p>
    <w:p>
      <w:pPr>
        <w:ind w:firstLine="412" w:firstLineChars="196"/>
      </w:pPr>
      <w:r>
        <w:rPr>
          <w:rFonts w:ascii="宋体" w:hAnsi="宋体"/>
        </w:rPr>
        <w:t>32.4.</w:t>
      </w:r>
      <w:r>
        <w:rPr>
          <w:rFonts w:ascii="宋体" w:hAnsi="宋体" w:hint="eastAsia"/>
        </w:rPr>
        <w:t>2</w:t>
      </w:r>
      <w:r>
        <w:rPr>
          <w:rFonts w:hint="eastAsia"/>
        </w:rPr>
        <w:t>不同投标人委托同一单位或者个人办理投标事宜；</w:t>
      </w:r>
    </w:p>
    <w:p>
      <w:pPr>
        <w:ind w:firstLine="412" w:firstLineChars="196"/>
        <w:rPr>
          <w:rFonts w:ascii="宋体" w:hAnsi="宋体"/>
        </w:rPr>
      </w:pPr>
      <w:r>
        <w:rPr>
          <w:rFonts w:ascii="宋体" w:hAnsi="宋体" w:hint="eastAsia"/>
        </w:rPr>
        <w:t>32.4.3不同投标人的投标文件载明的项目管理成员或者联系人员为同一人；</w:t>
      </w:r>
    </w:p>
    <w:p>
      <w:pPr>
        <w:ind w:firstLine="412" w:firstLineChars="196"/>
        <w:rPr>
          <w:rFonts w:ascii="宋体" w:hAnsi="宋体"/>
        </w:rPr>
      </w:pPr>
      <w:r>
        <w:rPr>
          <w:rFonts w:ascii="宋体" w:hAnsi="宋体" w:hint="eastAsia"/>
        </w:rPr>
        <w:t>32.4.4不同投标人的投标文件异常一致或者投标报价呈规律性差异；</w:t>
      </w:r>
    </w:p>
    <w:p>
      <w:pPr>
        <w:ind w:firstLine="412" w:firstLineChars="196"/>
        <w:rPr>
          <w:rFonts w:ascii="宋体" w:hAnsi="宋体"/>
        </w:rPr>
      </w:pPr>
      <w:r>
        <w:rPr>
          <w:rFonts w:ascii="宋体" w:hAnsi="宋体" w:hint="eastAsia"/>
        </w:rPr>
        <w:t>32.4.5</w:t>
      </w:r>
      <w:r>
        <w:rPr>
          <w:rFonts w:ascii="宋体" w:hAnsi="宋体"/>
        </w:rPr>
        <w:t>不同投标供应商的投标文件或部分投标文件相互混装</w:t>
      </w:r>
      <w:r>
        <w:rPr>
          <w:rFonts w:ascii="宋体" w:hAnsi="宋体" w:hint="eastAsia"/>
        </w:rPr>
        <w:t>；</w:t>
      </w:r>
    </w:p>
    <w:p>
      <w:pPr>
        <w:ind w:firstLine="412" w:firstLineChars="196"/>
        <w:rPr>
          <w:rFonts w:ascii="宋体" w:hAnsi="宋体"/>
        </w:rPr>
      </w:pPr>
      <w:r>
        <w:rPr>
          <w:rFonts w:ascii="宋体" w:hAnsi="宋体" w:hint="eastAsia"/>
        </w:rPr>
        <w:t>32.4.6投标供应商之间相互约定给予未中标的供应商利益补偿；</w:t>
      </w:r>
    </w:p>
    <w:p>
      <w:pPr>
        <w:ind w:firstLine="412" w:firstLineChars="196"/>
        <w:rPr>
          <w:rFonts w:ascii="宋体" w:hAnsi="宋体"/>
        </w:rPr>
      </w:pPr>
      <w:r>
        <w:rPr>
          <w:rFonts w:ascii="宋体" w:hAnsi="宋体" w:hint="eastAsia"/>
        </w:rPr>
        <w:t>32.4.7不同投标供应商的法定代表人、主要经营负责人、项目投标授权代表人、项目负责人、主要技术人员为同一人、属同一单位或者同一单位缴纳社会保险；</w:t>
      </w:r>
    </w:p>
    <w:p>
      <w:pPr>
        <w:ind w:firstLine="412" w:firstLineChars="196"/>
        <w:rPr>
          <w:rFonts w:ascii="宋体" w:hAnsi="宋体"/>
        </w:rPr>
      </w:pPr>
      <w:r>
        <w:rPr>
          <w:rFonts w:ascii="宋体" w:hAnsi="宋体" w:hint="eastAsia"/>
        </w:rPr>
        <w:t>32.4.8不同投标供应商的投标文件内容存在非正常一致；</w:t>
      </w:r>
    </w:p>
    <w:p>
      <w:pPr>
        <w:ind w:firstLine="412" w:firstLineChars="196"/>
        <w:rPr>
          <w:rFonts w:ascii="宋体" w:hAnsi="宋体"/>
        </w:rPr>
      </w:pPr>
      <w:r>
        <w:rPr>
          <w:rFonts w:ascii="宋体" w:hAnsi="宋体" w:hint="eastAsia"/>
        </w:rPr>
        <w:t>32.4.9在同一单位工作人员为两家以上（含两家）供应商进行同一项投标活动；</w:t>
      </w:r>
    </w:p>
    <w:p>
      <w:pPr>
        <w:ind w:firstLine="412" w:firstLineChars="196"/>
        <w:rPr>
          <w:rFonts w:ascii="宋体" w:hAnsi="宋体"/>
        </w:rPr>
      </w:pPr>
      <w:r>
        <w:rPr>
          <w:rFonts w:ascii="宋体" w:hAnsi="宋体" w:hint="eastAsia"/>
        </w:rPr>
        <w:t>32.4.10主管部门依照法律、法规认定的其他情形。</w:t>
      </w:r>
    </w:p>
    <w:p>
      <w:pPr>
        <w:ind w:firstLine="412" w:firstLineChars="196"/>
        <w:rPr>
          <w:rFonts w:ascii="宋体" w:hAnsi="宋体"/>
        </w:rPr>
      </w:pPr>
      <w:r>
        <w:rPr>
          <w:rFonts w:ascii="宋体" w:hAnsi="宋体" w:hint="eastAsia"/>
        </w:rPr>
        <w:t>32.5对不属于《资格性审查表》和《符合性审查表》所列的其他情形，除专用条款另有规定和32.4条款所列情形外，不得作为投标无效的理由。</w:t>
      </w:r>
    </w:p>
    <w:p>
      <w:pPr>
        <w:rPr>
          <w:rFonts w:ascii="黑体" w:eastAsia="黑体" w:hAnsi="宋体"/>
          <w:sz w:val="24"/>
        </w:rPr>
      </w:pPr>
      <w:r>
        <w:rPr>
          <w:rFonts w:ascii="黑体" w:eastAsia="黑体" w:hAnsi="宋体" w:hint="eastAsia"/>
          <w:sz w:val="24"/>
        </w:rPr>
        <w:t>33．澄清有关问题</w:t>
      </w:r>
    </w:p>
    <w:p>
      <w:pPr>
        <w:ind w:firstLine="412" w:firstLineChars="196"/>
        <w:rPr>
          <w:rFonts w:ascii="宋体" w:hAnsi="宋体"/>
        </w:rPr>
      </w:pPr>
      <w:bookmarkStart w:id="98" w:name="_Hlk71407321"/>
      <w:r>
        <w:rPr>
          <w:rFonts w:ascii="宋体" w:hAnsi="宋体" w:hint="eastAsia"/>
        </w:rPr>
        <w:t>3</w:t>
      </w:r>
      <w:r>
        <w:rPr>
          <w:rFonts w:ascii="宋体" w:hAnsi="宋体"/>
        </w:rPr>
        <w:t>3.1</w:t>
      </w:r>
      <w:r>
        <w:rPr>
          <w:rFonts w:ascii="宋体" w:hAnsi="宋体" w:hint="eastAsia"/>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ascii="宋体" w:hAnsi="宋体" w:hint="eastAsia"/>
        </w:rPr>
        <w:t>，评审委员会有权进行评判，但对同一条款的评判应适用于每个投标人。</w:t>
      </w:r>
      <w:bookmarkEnd w:id="98"/>
    </w:p>
    <w:p>
      <w:pPr>
        <w:ind w:firstLine="412" w:firstLineChars="196"/>
        <w:rPr>
          <w:rFonts w:ascii="宋体" w:hAnsi="宋体"/>
        </w:rPr>
      </w:pPr>
      <w:r>
        <w:rPr>
          <w:rFonts w:ascii="宋体" w:hAnsi="宋体" w:hint="eastAsia"/>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2" w:firstLineChars="196"/>
        <w:rPr>
          <w:rFonts w:ascii="宋体" w:hAnsi="宋体"/>
        </w:rPr>
      </w:pPr>
      <w:r>
        <w:rPr>
          <w:rFonts w:ascii="宋体" w:hAnsi="宋体"/>
        </w:rPr>
        <w:t>33.3</w:t>
      </w:r>
      <w:r>
        <w:rPr>
          <w:rFonts w:ascii="宋体" w:hAnsi="宋体" w:hint="eastAsia"/>
        </w:rPr>
        <w:t>对于投标文件中含义不明确、同类问题表述不一致或者有明显文字和计算错误的内容，评审委员会应当以书面形式要求投标人作出必要的澄清、说明或者补正。</w:t>
      </w:r>
    </w:p>
    <w:p>
      <w:pPr>
        <w:ind w:firstLine="412" w:firstLineChars="196"/>
        <w:rPr>
          <w:rFonts w:ascii="宋体" w:hAnsi="宋体"/>
        </w:rPr>
      </w:pPr>
      <w:r>
        <w:rPr>
          <w:rFonts w:ascii="宋体" w:hAnsi="宋体" w:hint="eastAsia"/>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2" w:firstLineChars="196"/>
        <w:rPr>
          <w:rFonts w:ascii="宋体" w:hAnsi="宋体"/>
          <w:szCs w:val="21"/>
        </w:rPr>
      </w:pPr>
      <w:r>
        <w:rPr>
          <w:rFonts w:ascii="宋体" w:hAnsi="宋体" w:hint="eastAsia"/>
          <w:szCs w:val="21"/>
        </w:rPr>
        <w:t>根据本通用条款第34条，凡属于评审委员会在评审中发现的算术错误进行核实的修改不在此列。</w:t>
      </w:r>
    </w:p>
    <w:p>
      <w:pPr>
        <w:rPr>
          <w:rFonts w:ascii="黑体" w:eastAsia="黑体" w:hAnsi="宋体"/>
          <w:sz w:val="24"/>
        </w:rPr>
      </w:pPr>
      <w:bookmarkStart w:id="99" w:name="_Toc73517673"/>
      <w:bookmarkStart w:id="100" w:name="_Toc73521581"/>
      <w:bookmarkStart w:id="101" w:name="_Toc100052400"/>
      <w:bookmarkStart w:id="102" w:name="_Toc73518151"/>
      <w:bookmarkStart w:id="103" w:name="_Toc73521669"/>
      <w:r>
        <w:rPr>
          <w:rFonts w:ascii="黑体" w:eastAsia="黑体" w:hAnsi="宋体" w:hint="eastAsia"/>
          <w:sz w:val="24"/>
        </w:rPr>
        <w:t>34．错误的修正</w:t>
      </w:r>
      <w:bookmarkEnd w:id="99"/>
      <w:bookmarkEnd w:id="100"/>
      <w:bookmarkEnd w:id="101"/>
      <w:bookmarkEnd w:id="102"/>
      <w:bookmarkEnd w:id="103"/>
    </w:p>
    <w:p>
      <w:pPr>
        <w:ind w:firstLine="412" w:firstLineChars="196"/>
        <w:rPr>
          <w:rFonts w:ascii="宋体" w:hAnsi="宋体"/>
          <w:szCs w:val="21"/>
        </w:rPr>
      </w:pPr>
      <w:r>
        <w:rPr>
          <w:rFonts w:ascii="宋体" w:hAnsi="宋体" w:hint="eastAsia"/>
          <w:szCs w:val="21"/>
        </w:rPr>
        <w:t>投标文件报价出现前后不一致的，除专用条款另有规定外，按照下列规定修正：</w:t>
      </w:r>
    </w:p>
    <w:p>
      <w:pPr>
        <w:ind w:firstLine="412" w:firstLineChars="196"/>
        <w:rPr>
          <w:rFonts w:ascii="宋体" w:hAnsi="宋体"/>
          <w:szCs w:val="21"/>
        </w:rPr>
      </w:pPr>
      <w:r>
        <w:rPr>
          <w:rFonts w:ascii="宋体" w:hAnsi="宋体" w:hint="eastAsia"/>
          <w:szCs w:val="21"/>
        </w:rPr>
        <w:t>34.1投标文件中开标一览表投标报价内容与投标文件中投标报价相应内容不一致的，以开标一览表为准；</w:t>
      </w:r>
    </w:p>
    <w:p>
      <w:pPr>
        <w:ind w:firstLine="412" w:firstLineChars="196"/>
        <w:rPr>
          <w:rFonts w:ascii="宋体" w:hAnsi="宋体"/>
          <w:szCs w:val="21"/>
        </w:rPr>
      </w:pPr>
      <w:r>
        <w:rPr>
          <w:rFonts w:ascii="宋体" w:hAnsi="宋体" w:hint="eastAsia"/>
          <w:szCs w:val="21"/>
        </w:rPr>
        <w:t>34.2大写金额和小写金额不一致的，以大写金额为准；</w:t>
      </w:r>
    </w:p>
    <w:p>
      <w:pPr>
        <w:ind w:firstLine="412" w:firstLineChars="196"/>
        <w:rPr>
          <w:rFonts w:ascii="宋体" w:hAnsi="宋体"/>
          <w:szCs w:val="21"/>
        </w:rPr>
      </w:pPr>
      <w:r>
        <w:rPr>
          <w:rFonts w:ascii="宋体" w:hAnsi="宋体" w:hint="eastAsia"/>
          <w:szCs w:val="21"/>
        </w:rPr>
        <w:t>34.3单价金额小数点或者百分比有明显错位，以开标一览表的总价为准，并修改单价；</w:t>
      </w:r>
    </w:p>
    <w:p>
      <w:pPr>
        <w:ind w:firstLine="412" w:firstLineChars="196"/>
        <w:rPr>
          <w:rFonts w:ascii="宋体" w:hAnsi="宋体"/>
          <w:szCs w:val="21"/>
        </w:rPr>
      </w:pPr>
      <w:r>
        <w:rPr>
          <w:rFonts w:ascii="宋体" w:hAnsi="宋体" w:hint="eastAsia"/>
          <w:szCs w:val="21"/>
        </w:rPr>
        <w:t>34.4总价金额与按单价汇总金额不一致的，以单价金额计算结果为准。</w:t>
      </w:r>
    </w:p>
    <w:p>
      <w:pPr>
        <w:ind w:firstLine="412" w:firstLineChars="196"/>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pPr>
        <w:rPr>
          <w:rFonts w:ascii="黑体" w:eastAsia="黑体" w:hAnsi="宋体"/>
          <w:sz w:val="24"/>
        </w:rPr>
      </w:pPr>
      <w:r>
        <w:rPr>
          <w:rFonts w:ascii="黑体" w:eastAsia="黑体" w:hAnsi="宋体" w:hint="eastAsia"/>
          <w:sz w:val="24"/>
        </w:rPr>
        <w:t>35．投标文件的比较与评价</w:t>
      </w:r>
    </w:p>
    <w:p>
      <w:pPr>
        <w:ind w:firstLine="412" w:firstLineChars="196"/>
        <w:rPr>
          <w:rFonts w:ascii="宋体" w:hAnsi="宋体"/>
          <w:szCs w:val="21"/>
        </w:rPr>
      </w:pPr>
      <w:r>
        <w:rPr>
          <w:rFonts w:ascii="宋体" w:hAnsi="宋体" w:hint="eastAsia"/>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2" w:firstLineChars="196"/>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pPr>
        <w:rPr>
          <w:rFonts w:ascii="黑体" w:eastAsia="黑体" w:hAnsi="宋体"/>
          <w:sz w:val="24"/>
        </w:rPr>
      </w:pPr>
      <w:r>
        <w:rPr>
          <w:rFonts w:ascii="黑体" w:eastAsia="黑体" w:hAnsi="宋体" w:hint="eastAsia"/>
          <w:sz w:val="24"/>
        </w:rPr>
        <w:t>36. 实地考察或资料查验</w:t>
      </w:r>
    </w:p>
    <w:p>
      <w:pPr>
        <w:ind w:firstLine="412" w:firstLineChars="196"/>
        <w:rPr>
          <w:rFonts w:ascii="宋体" w:hAnsi="宋体"/>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pPr>
        <w:rPr>
          <w:rFonts w:ascii="黑体" w:eastAsia="黑体" w:hAnsi="宋体"/>
          <w:sz w:val="24"/>
        </w:rPr>
      </w:pPr>
      <w:r>
        <w:rPr>
          <w:rFonts w:ascii="黑体" w:eastAsia="黑体" w:hAnsi="宋体" w:hint="eastAsia"/>
          <w:sz w:val="24"/>
        </w:rPr>
        <w:t>37．评审方法</w:t>
      </w:r>
    </w:p>
    <w:p>
      <w:pPr>
        <w:ind w:firstLine="412" w:firstLineChars="196"/>
        <w:rPr>
          <w:rFonts w:ascii="宋体" w:hAnsi="宋体"/>
          <w:b/>
          <w:bCs/>
          <w:szCs w:val="21"/>
        </w:rPr>
      </w:pPr>
      <w:r>
        <w:rPr>
          <w:rFonts w:ascii="宋体" w:hAnsi="宋体" w:hint="eastAsia"/>
          <w:b/>
          <w:bCs/>
          <w:szCs w:val="21"/>
        </w:rPr>
        <w:t>37.1.1最低价法</w:t>
      </w:r>
    </w:p>
    <w:p>
      <w:pPr>
        <w:ind w:firstLine="412" w:firstLineChars="196"/>
        <w:rPr>
          <w:rFonts w:ascii="ˎ̥" w:hAnsi="ˎ̥" w:hint="eastAsia"/>
        </w:rPr>
      </w:pPr>
      <w:bookmarkStart w:id="104" w:name="_Hlk72438142"/>
      <w:r>
        <w:rPr>
          <w:rFonts w:ascii="ˎ̥" w:hAnsi="ˎ̥"/>
        </w:rPr>
        <w:t>最低价法，是指</w:t>
      </w:r>
      <w:r>
        <w:rPr>
          <w:rFonts w:ascii="ˎ̥" w:hAnsi="ˎ̥" w:hint="eastAsia"/>
        </w:rPr>
        <w:t>完全</w:t>
      </w:r>
      <w:r>
        <w:rPr>
          <w:rFonts w:ascii="ˎ̥" w:hAnsi="ˎ̥"/>
        </w:rPr>
        <w:t>满足招标文件实质性要求，</w:t>
      </w:r>
      <w:r>
        <w:rPr>
          <w:rFonts w:ascii="ˎ̥" w:hAnsi="ˎ̥" w:hint="eastAsia"/>
        </w:rPr>
        <w:t>按照报价由低到高的顺序，依据招标文件中规定的数量或者比例推荐候选中标供应商。</w:t>
      </w:r>
    </w:p>
    <w:p>
      <w:pPr>
        <w:ind w:firstLine="412" w:firstLineChars="196"/>
        <w:rPr>
          <w:rFonts w:ascii="宋体" w:hAnsi="宋体"/>
          <w:b/>
          <w:bCs/>
          <w:szCs w:val="21"/>
        </w:rPr>
      </w:pPr>
      <w:r>
        <w:rPr>
          <w:rFonts w:ascii="宋体" w:hAnsi="宋体" w:hint="eastAsia"/>
          <w:b/>
          <w:bCs/>
          <w:szCs w:val="21"/>
        </w:rPr>
        <w:t>37.1.2综合评分法</w:t>
      </w:r>
    </w:p>
    <w:p>
      <w:pPr>
        <w:ind w:firstLine="412" w:firstLineChars="196"/>
        <w:rPr>
          <w:rFonts w:ascii="ˎ̥" w:hAnsi="ˎ̥" w:hint="eastAsia"/>
        </w:rPr>
      </w:pPr>
      <w:r>
        <w:rPr>
          <w:rFonts w:ascii="ˎ̥" w:hAnsi="ˎ̥"/>
        </w:rPr>
        <w:t>综合评分法，是指</w:t>
      </w:r>
      <w:r>
        <w:rPr>
          <w:rFonts w:ascii="ˎ̥" w:hAnsi="ˎ̥" w:hint="eastAsia"/>
        </w:rPr>
        <w:t>在</w:t>
      </w:r>
      <w:r>
        <w:rPr>
          <w:rFonts w:ascii="ˎ̥" w:hAnsi="ˎ̥"/>
        </w:rPr>
        <w:t>满足招标文件全部实质性要求</w:t>
      </w:r>
      <w:r>
        <w:rPr>
          <w:rFonts w:ascii="ˎ̥" w:hAnsi="ˎ̥" w:hint="eastAsia"/>
        </w:rPr>
        <w:t>的前提下</w:t>
      </w:r>
      <w:r>
        <w:rPr>
          <w:rFonts w:ascii="ˎ̥" w:hAnsi="ˎ̥"/>
        </w:rPr>
        <w:t>，</w:t>
      </w:r>
      <w:r>
        <w:rPr>
          <w:rFonts w:ascii="ˎ̥" w:hAnsi="ˎ̥" w:hint="eastAsia"/>
        </w:rPr>
        <w:t>按照招标文件中规定的各项因素进行综合评审，评审总得分排名前列的投标人，作为推荐的候选中标供应商。</w:t>
      </w:r>
      <w:bookmarkEnd w:id="104"/>
    </w:p>
    <w:p>
      <w:pPr>
        <w:ind w:firstLine="412" w:firstLineChars="196"/>
        <w:rPr>
          <w:rFonts w:ascii="宋体" w:hAnsi="宋体"/>
          <w:b/>
          <w:bCs/>
          <w:szCs w:val="21"/>
        </w:rPr>
      </w:pPr>
      <w:r>
        <w:rPr>
          <w:rFonts w:ascii="宋体" w:hAnsi="宋体" w:hint="eastAsia"/>
          <w:b/>
          <w:bCs/>
          <w:szCs w:val="21"/>
        </w:rPr>
        <w:t>37.2 本项目采用的评审方法见本项目招标文件第一册“专用条款”的相关内容。</w:t>
      </w:r>
    </w:p>
    <w:p>
      <w:pPr>
        <w:ind w:firstLine="412" w:firstLineChars="196"/>
        <w:rPr>
          <w:rFonts w:ascii="宋体" w:hAnsi="宋体"/>
          <w:b/>
          <w:bCs/>
          <w:szCs w:val="21"/>
        </w:rPr>
      </w:pPr>
      <w:r>
        <w:rPr>
          <w:rFonts w:ascii="宋体" w:hAnsi="宋体" w:hint="eastAsia"/>
          <w:b/>
          <w:bCs/>
          <w:szCs w:val="21"/>
        </w:rPr>
        <w:t>37.3重新评审的情形</w:t>
      </w:r>
    </w:p>
    <w:p>
      <w:pPr>
        <w:ind w:firstLine="412" w:firstLineChars="196"/>
        <w:rPr>
          <w:rFonts w:ascii="宋体" w:hAnsi="宋体"/>
          <w:b/>
          <w:bCs/>
          <w:szCs w:val="21"/>
        </w:rPr>
      </w:pPr>
      <w:r>
        <w:rPr>
          <w:rFonts w:ascii="宋体" w:hAnsi="宋体" w:cs="宋体" w:hint="eastAsia"/>
          <w:kern w:val="0"/>
          <w:szCs w:val="21"/>
        </w:rPr>
        <w:t>评审结果汇总完成后，除下列情形外，任何人不得修改评审结果：</w:t>
      </w:r>
    </w:p>
    <w:p>
      <w:pPr>
        <w:ind w:firstLine="412" w:firstLineChars="196"/>
        <w:rPr>
          <w:rFonts w:ascii="宋体" w:hAnsi="宋体" w:cs="宋体"/>
          <w:kern w:val="0"/>
          <w:szCs w:val="21"/>
        </w:rPr>
      </w:pPr>
      <w:r>
        <w:rPr>
          <w:rFonts w:ascii="宋体" w:hAnsi="宋体" w:cs="宋体" w:hint="eastAsia"/>
          <w:kern w:val="0"/>
          <w:szCs w:val="21"/>
        </w:rPr>
        <w:t>37.3.1分值汇总计算错误的；</w:t>
      </w:r>
    </w:p>
    <w:p>
      <w:pPr>
        <w:ind w:firstLine="412" w:firstLineChars="196"/>
        <w:rPr>
          <w:rFonts w:ascii="宋体" w:hAnsi="宋体" w:cs="宋体"/>
          <w:kern w:val="0"/>
          <w:szCs w:val="21"/>
        </w:rPr>
      </w:pPr>
      <w:r>
        <w:rPr>
          <w:rFonts w:ascii="宋体" w:hAnsi="宋体" w:cs="宋体" w:hint="eastAsia"/>
          <w:kern w:val="0"/>
          <w:szCs w:val="21"/>
        </w:rPr>
        <w:t>37.3.2分项评分超出评分标准范围的；</w:t>
      </w:r>
    </w:p>
    <w:p>
      <w:pPr>
        <w:ind w:firstLine="412" w:firstLineChars="196"/>
        <w:rPr>
          <w:rFonts w:ascii="宋体" w:hAnsi="宋体" w:cs="宋体"/>
          <w:kern w:val="0"/>
          <w:szCs w:val="21"/>
        </w:rPr>
      </w:pPr>
      <w:r>
        <w:rPr>
          <w:rFonts w:ascii="宋体" w:hAnsi="宋体" w:cs="宋体" w:hint="eastAsia"/>
          <w:kern w:val="0"/>
          <w:szCs w:val="21"/>
        </w:rPr>
        <w:t>37.3.3评审委员会成员对客观评审因素评分不一致的；</w:t>
      </w:r>
    </w:p>
    <w:p>
      <w:pPr>
        <w:ind w:firstLine="412" w:firstLineChars="196"/>
        <w:rPr>
          <w:rFonts w:ascii="宋体" w:hAnsi="宋体" w:cs="宋体"/>
          <w:kern w:val="0"/>
          <w:szCs w:val="21"/>
        </w:rPr>
      </w:pPr>
      <w:r>
        <w:rPr>
          <w:rFonts w:ascii="宋体" w:hAnsi="宋体" w:cs="宋体" w:hint="eastAsia"/>
          <w:kern w:val="0"/>
          <w:szCs w:val="21"/>
        </w:rPr>
        <w:t>37.3.4经评审委员会认定评分畸高、畸低的。</w:t>
      </w:r>
    </w:p>
    <w:p>
      <w:pPr>
        <w:ind w:firstLine="412" w:firstLineChars="196"/>
        <w:rPr>
          <w:rFonts w:ascii="宋体" w:hAnsi="宋体" w:cs="宋体"/>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2" w:firstLineChars="196"/>
        <w:rPr>
          <w:rFonts w:ascii="宋体" w:hAnsi="宋体" w:cs="宋体"/>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pPr>
        <w:ind w:firstLine="412" w:firstLineChars="196"/>
        <w:rPr>
          <w:rFonts w:ascii="宋体" w:hAnsi="宋体"/>
          <w:b/>
          <w:bCs/>
          <w:szCs w:val="21"/>
        </w:rPr>
      </w:pPr>
      <w:r>
        <w:rPr>
          <w:rFonts w:ascii="宋体" w:hAnsi="宋体" w:hint="eastAsia"/>
          <w:b/>
          <w:bCs/>
          <w:szCs w:val="21"/>
        </w:rPr>
        <w:t xml:space="preserve"> 37.4重新组建评审委员会的情形</w:t>
      </w:r>
    </w:p>
    <w:p>
      <w:pPr>
        <w:ind w:firstLine="412" w:firstLineChars="196"/>
        <w:rPr>
          <w:rFonts w:ascii="宋体" w:hAnsi="宋体" w:cs="宋体"/>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pPr>
        <w:ind w:firstLine="412" w:firstLineChars="196"/>
        <w:rPr>
          <w:rFonts w:ascii="宋体" w:hAnsi="宋体" w:cs="宋体"/>
          <w:kern w:val="0"/>
          <w:szCs w:val="21"/>
        </w:rPr>
      </w:pPr>
      <w:r>
        <w:rPr>
          <w:rFonts w:ascii="宋体" w:hAnsi="宋体" w:cs="宋体" w:hint="eastAsia"/>
          <w:kern w:val="0"/>
          <w:szCs w:val="21"/>
        </w:rPr>
        <w:t>37.4.1评审委员会组成不符合《政府采购货物和服务招标投标管理办法》规定的；</w:t>
      </w:r>
    </w:p>
    <w:p>
      <w:pPr>
        <w:ind w:firstLine="412" w:firstLineChars="196"/>
        <w:rPr>
          <w:rFonts w:ascii="宋体" w:hAnsi="宋体" w:cs="宋体"/>
          <w:kern w:val="0"/>
          <w:szCs w:val="21"/>
        </w:rPr>
      </w:pPr>
      <w:r>
        <w:rPr>
          <w:rFonts w:ascii="宋体" w:hAnsi="宋体" w:cs="宋体" w:hint="eastAsia"/>
          <w:kern w:val="0"/>
          <w:szCs w:val="21"/>
        </w:rPr>
        <w:t>37.4.2有《政府采购货物和服务招标投标管理办法》第六十二条第一至五项情形的；</w:t>
      </w:r>
    </w:p>
    <w:p>
      <w:pPr>
        <w:ind w:firstLine="412" w:firstLineChars="196"/>
        <w:rPr>
          <w:rFonts w:ascii="宋体" w:hAnsi="宋体" w:cs="宋体"/>
          <w:kern w:val="0"/>
          <w:szCs w:val="21"/>
        </w:rPr>
      </w:pPr>
      <w:r>
        <w:rPr>
          <w:rFonts w:ascii="宋体" w:hAnsi="宋体" w:cs="宋体" w:hint="eastAsia"/>
          <w:kern w:val="0"/>
          <w:szCs w:val="21"/>
        </w:rPr>
        <w:t>37.4.3评审委员会及其成员独立评标受到非法干预的；</w:t>
      </w:r>
    </w:p>
    <w:p>
      <w:pPr>
        <w:ind w:firstLine="412" w:firstLineChars="196"/>
        <w:rPr>
          <w:rFonts w:ascii="宋体" w:hAnsi="宋体" w:cs="宋体"/>
          <w:kern w:val="0"/>
          <w:szCs w:val="21"/>
        </w:rPr>
      </w:pPr>
      <w:r>
        <w:rPr>
          <w:rFonts w:ascii="宋体" w:hAnsi="宋体" w:cs="宋体" w:hint="eastAsia"/>
          <w:kern w:val="0"/>
          <w:szCs w:val="21"/>
        </w:rPr>
        <w:t>37.4.4有政府采购法实施条例第七十五条规定的违法行为的。</w:t>
      </w:r>
    </w:p>
    <w:p>
      <w:pPr>
        <w:ind w:firstLine="412" w:firstLineChars="196"/>
        <w:rPr>
          <w:rFonts w:ascii="宋体" w:hAnsi="宋体" w:cs="宋体"/>
          <w:kern w:val="0"/>
          <w:szCs w:val="21"/>
        </w:rPr>
      </w:pPr>
      <w:r>
        <w:rPr>
          <w:rFonts w:ascii="宋体" w:hAnsi="宋体" w:cs="宋体" w:hint="eastAsia"/>
          <w:kern w:val="0"/>
          <w:szCs w:val="21"/>
        </w:rPr>
        <w:t>有违法违规行为的原评审委员会成员不得参加重新组建的评审委员会。</w:t>
      </w:r>
    </w:p>
    <w:p>
      <w:pPr>
        <w:pStyle w:val="Heading2"/>
        <w:numPr>
          <w:ilvl w:val="0"/>
          <w:numId w:val="8"/>
        </w:numPr>
        <w:spacing w:before="120" w:beforeLines="50" w:after="120" w:afterLines="50"/>
        <w:ind w:left="562" w:hanging="562"/>
        <w:rPr>
          <w:sz w:val="28"/>
          <w:szCs w:val="28"/>
        </w:rPr>
      </w:pPr>
      <w:r>
        <w:rPr>
          <w:rFonts w:hint="eastAsia"/>
          <w:sz w:val="28"/>
          <w:szCs w:val="28"/>
        </w:rPr>
        <w:t>定标及公示</w:t>
      </w:r>
    </w:p>
    <w:p>
      <w:pPr>
        <w:rPr>
          <w:rFonts w:ascii="黑体" w:eastAsia="黑体" w:hAnsi="宋体"/>
          <w:sz w:val="24"/>
        </w:rPr>
      </w:pPr>
      <w:r>
        <w:rPr>
          <w:rFonts w:ascii="黑体" w:eastAsia="黑体" w:hAnsi="宋体" w:hint="eastAsia"/>
          <w:sz w:val="24"/>
        </w:rPr>
        <w:t>38．定标方法</w:t>
      </w:r>
    </w:p>
    <w:p>
      <w:pPr>
        <w:ind w:firstLine="412" w:firstLineChars="196"/>
        <w:rPr>
          <w:rFonts w:ascii="宋体" w:hAnsi="宋体"/>
          <w:szCs w:val="21"/>
        </w:rPr>
      </w:pPr>
      <w:bookmarkStart w:id="105" w:name="_Hlk73782795"/>
      <w:r>
        <w:rPr>
          <w:rFonts w:ascii="宋体" w:hAnsi="宋体" w:hint="eastAsia"/>
          <w:szCs w:val="21"/>
        </w:rPr>
        <w:t>38.1非评定分离项目定标方法</w:t>
      </w:r>
    </w:p>
    <w:p>
      <w:pPr>
        <w:ind w:firstLine="412" w:firstLineChars="196"/>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rPr>
        <w:t>采用最低价法的，评</w:t>
      </w:r>
      <w:r>
        <w:rPr>
          <w:rFonts w:ascii="ˎ̥" w:hAnsi="ˎ̥" w:hint="eastAsia"/>
        </w:rPr>
        <w:t>审</w:t>
      </w:r>
      <w:r>
        <w:rPr>
          <w:rFonts w:ascii="ˎ̥" w:hAnsi="ˎ̥"/>
        </w:rPr>
        <w:t>结果按投标报价由低到高顺序排列。投标报价相同的并列。投标文件满足招标文件全部实质性要求且投标报价最低的</w:t>
      </w:r>
      <w:r>
        <w:rPr>
          <w:rFonts w:ascii="ˎ̥" w:hAnsi="ˎ̥" w:hint="eastAsia"/>
        </w:rPr>
        <w:t>投标人为</w:t>
      </w:r>
      <w:bookmarkStart w:id="106" w:name="_Hlk73821177"/>
      <w:r>
        <w:rPr>
          <w:rFonts w:ascii="ˎ̥" w:hAnsi="ˎ̥" w:hint="eastAsia"/>
        </w:rPr>
        <w:t>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bookmarkEnd w:id="106"/>
      <w:r>
        <w:rPr>
          <w:rFonts w:ascii="ˎ̥" w:hAnsi="ˎ̥"/>
        </w:rPr>
        <w:t>）。</w:t>
      </w:r>
    </w:p>
    <w:p>
      <w:pPr>
        <w:ind w:firstLine="412" w:firstLineChars="196"/>
        <w:rPr>
          <w:rFonts w:ascii="ˎ̥" w:hAnsi="ˎ̥" w:hint="eastAsia"/>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ascii="ˎ̥" w:hAnsi="ˎ̥" w:hint="eastAsia"/>
        </w:rPr>
        <w:t>为中标供应商</w:t>
      </w:r>
      <w:r>
        <w:rPr>
          <w:rFonts w:ascii="ˎ̥" w:hAnsi="ˎ̥"/>
        </w:rPr>
        <w:t>（</w:t>
      </w:r>
      <w:r>
        <w:rPr>
          <w:rFonts w:ascii="ˎ̥" w:hAnsi="ˎ̥" w:hint="eastAsia"/>
        </w:rPr>
        <w:t>排名</w:t>
      </w:r>
      <w:r>
        <w:rPr>
          <w:rFonts w:ascii="ˎ̥" w:hAnsi="ˎ̥"/>
        </w:rPr>
        <w:t>第二</w:t>
      </w:r>
      <w:r>
        <w:rPr>
          <w:rFonts w:ascii="ˎ̥" w:hAnsi="ˎ̥" w:hint="eastAsia"/>
        </w:rPr>
        <w:t>的投标人为第一替补中标候选人、排名</w:t>
      </w:r>
      <w:r>
        <w:rPr>
          <w:rFonts w:ascii="ˎ̥" w:hAnsi="ˎ̥"/>
        </w:rPr>
        <w:t>第</w:t>
      </w:r>
      <w:r>
        <w:rPr>
          <w:rFonts w:ascii="ˎ̥" w:hAnsi="ˎ̥" w:hint="eastAsia"/>
        </w:rPr>
        <w:t>三的投标人为第二替补中标候选人</w:t>
      </w:r>
      <w:r>
        <w:rPr>
          <w:rFonts w:ascii="ˎ̥" w:hAnsi="ˎ̥"/>
        </w:rPr>
        <w:t>）。</w:t>
      </w:r>
      <w:r>
        <w:rPr>
          <w:rFonts w:ascii="ˎ̥" w:hAnsi="ˎ̥" w:hint="eastAsia"/>
        </w:rPr>
        <w:t>出现</w:t>
      </w:r>
      <w:r>
        <w:rPr>
          <w:rFonts w:ascii="ˎ̥" w:hAnsi="ˎ̥"/>
        </w:rPr>
        <w:t>得分且投标报价相同的并列</w:t>
      </w:r>
      <w:r>
        <w:rPr>
          <w:rFonts w:ascii="ˎ̥" w:hAnsi="ˎ̥" w:hint="eastAsia"/>
        </w:rPr>
        <w:t>情况时，采取随机抽取的方式确定，具体操作办法及流程由评审委员会确定。</w:t>
      </w:r>
    </w:p>
    <w:p>
      <w:pPr>
        <w:ind w:firstLine="412" w:firstLineChars="196"/>
        <w:rPr>
          <w:rFonts w:ascii="宋体" w:hAnsi="宋体"/>
          <w:szCs w:val="21"/>
        </w:rPr>
      </w:pPr>
      <w:r>
        <w:rPr>
          <w:rFonts w:ascii="宋体" w:hAnsi="宋体" w:hint="eastAsia"/>
          <w:szCs w:val="21"/>
        </w:rPr>
        <w:t>38.2评定分离项目定标方法</w:t>
      </w:r>
    </w:p>
    <w:p>
      <w:pPr>
        <w:ind w:firstLine="412" w:firstLineChars="196"/>
        <w:rPr>
          <w:rFonts w:ascii="宋体" w:hAnsi="宋体"/>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2" w:firstLineChars="196"/>
      </w:pPr>
      <w:r>
        <w:rPr>
          <w:rFonts w:ascii="宋体" w:hAnsi="宋体"/>
          <w:szCs w:val="21"/>
        </w:rPr>
        <w:t xml:space="preserve">38.2.2 </w:t>
      </w:r>
      <w:bookmarkStart w:id="107" w:name="_Hlk71469733"/>
      <w:r>
        <w:t>适用评定分离的政府采购项目，采用综合评分法评</w:t>
      </w:r>
      <w:r>
        <w:rPr>
          <w:rFonts w:hint="eastAsia"/>
        </w:rPr>
        <w:t>审。</w:t>
      </w:r>
      <w:r>
        <w:rPr>
          <w:rFonts w:ascii="宋体" w:hAnsi="宋体" w:hint="eastAsia"/>
          <w:szCs w:val="21"/>
        </w:rPr>
        <w:t>评审委员会按照评审结果，推荐</w:t>
      </w:r>
      <w:r>
        <w:t>三个合格的候选中标供应商。</w:t>
      </w:r>
    </w:p>
    <w:p>
      <w:pPr>
        <w:ind w:firstLine="412" w:firstLineChars="196"/>
        <w:rPr>
          <w:rFonts w:ascii="宋体" w:hAnsi="宋体"/>
          <w:szCs w:val="21"/>
        </w:rPr>
      </w:pPr>
      <w:r>
        <w:rPr>
          <w:rFonts w:ascii="宋体" w:hAnsi="宋体" w:hint="eastAsia"/>
          <w:szCs w:val="21"/>
        </w:rPr>
        <w:t>38.2.3</w:t>
      </w:r>
      <w:bookmarkStart w:id="108" w:name="_Hlk71469688"/>
      <w:r>
        <w:t>适用评定分离的政府采购项目，</w:t>
      </w:r>
      <w:r>
        <w:rPr>
          <w:rFonts w:ascii="宋体" w:hAnsi="宋体" w:hint="eastAsia"/>
          <w:szCs w:val="21"/>
        </w:rPr>
        <w:t>按照自定法确定中标供应商：自定法是指采购人组织定标委员会，由定标委员会在三家候选中标供应商中确定中标供应商。</w:t>
      </w:r>
      <w:bookmarkEnd w:id="107"/>
      <w:bookmarkEnd w:id="108"/>
    </w:p>
    <w:p>
      <w:pPr>
        <w:ind w:firstLine="412" w:firstLineChars="196"/>
        <w:rPr>
          <w:rFonts w:ascii="宋体" w:hAnsi="宋体"/>
          <w:szCs w:val="21"/>
        </w:rPr>
      </w:pPr>
      <w:r>
        <w:rPr>
          <w:rFonts w:ascii="宋体" w:hAnsi="宋体"/>
          <w:szCs w:val="21"/>
        </w:rPr>
        <w:t>38.2.4</w:t>
      </w:r>
      <w:r>
        <w:rPr>
          <w:rFonts w:ascii="宋体" w:hAnsi="宋体" w:hint="eastAsia"/>
          <w:szCs w:val="21"/>
        </w:rPr>
        <w:t>政府集中采购机构</w:t>
      </w:r>
      <w:r>
        <w:t>应当自评审结束之日起两个工作日内将候选中标供应商名单及其投标文件、评审报告送交采购人</w:t>
      </w:r>
      <w:r>
        <w:rPr>
          <w:rFonts w:ascii="宋体" w:hAnsi="宋体" w:hint="eastAsia"/>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ascii="宋体" w:hAnsi="宋体" w:hint="eastAsia"/>
        </w:rPr>
        <w:t>〈</w:t>
      </w:r>
      <w:r>
        <w:t>深圳市政府采购评标定标分离管理办法</w:t>
      </w:r>
      <w:r>
        <w:rPr>
          <w:rFonts w:ascii="宋体" w:hAnsi="宋体" w:hint="eastAsia"/>
        </w:rPr>
        <w:t>〉</w:t>
      </w:r>
      <w:r>
        <w:t>的通知</w:t>
      </w:r>
      <w:r>
        <w:rPr>
          <w:rFonts w:hint="eastAsia"/>
        </w:rPr>
        <w:t>》（深财规【2</w:t>
      </w:r>
      <w:r>
        <w:t>020</w:t>
      </w:r>
      <w:r>
        <w:rPr>
          <w:rFonts w:hint="eastAsia"/>
        </w:rPr>
        <w:t>】1号）执行。</w:t>
      </w:r>
    </w:p>
    <w:p>
      <w:pPr>
        <w:ind w:firstLine="412" w:firstLineChars="196"/>
        <w:rPr>
          <w:rFonts w:ascii="宋体" w:hAnsi="宋体"/>
          <w:szCs w:val="21"/>
        </w:rPr>
      </w:pPr>
      <w:r>
        <w:rPr>
          <w:rFonts w:ascii="宋体" w:hAnsi="宋体" w:hint="eastAsia"/>
          <w:szCs w:val="21"/>
        </w:rPr>
        <w:t>说明：采购人及投标供应商应按照上述方法提前做好相关准备。</w:t>
      </w:r>
    </w:p>
    <w:p>
      <w:pPr>
        <w:ind w:firstLine="412" w:firstLineChars="196"/>
        <w:rPr>
          <w:rFonts w:ascii="宋体" w:hAnsi="宋体"/>
          <w:szCs w:val="21"/>
        </w:rPr>
      </w:pPr>
      <w:r>
        <w:rPr>
          <w:rFonts w:ascii="宋体" w:hAnsi="宋体" w:hint="eastAsia"/>
          <w:szCs w:val="21"/>
        </w:rPr>
        <w:t>38.3专用条款另有规定的，按专用条款相关要求定标。</w:t>
      </w:r>
      <w:bookmarkEnd w:id="105"/>
    </w:p>
    <w:p>
      <w:pPr>
        <w:rPr>
          <w:rFonts w:ascii="黑体" w:eastAsia="黑体" w:hAnsi="宋体"/>
          <w:sz w:val="24"/>
        </w:rPr>
      </w:pPr>
      <w:r>
        <w:rPr>
          <w:rFonts w:ascii="黑体" w:eastAsia="黑体" w:hAnsi="宋体" w:hint="eastAsia"/>
          <w:sz w:val="24"/>
        </w:rPr>
        <w:t>39．编写评审报告</w:t>
      </w:r>
    </w:p>
    <w:p>
      <w:pPr>
        <w:ind w:firstLine="412" w:firstLineChars="196"/>
        <w:rPr>
          <w:rFonts w:ascii="宋体" w:hAnsi="宋体"/>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eastAsia="黑体" w:hAnsi="宋体"/>
          <w:sz w:val="24"/>
        </w:rPr>
      </w:pPr>
      <w:r>
        <w:rPr>
          <w:rFonts w:ascii="黑体" w:eastAsia="黑体" w:hAnsi="宋体" w:hint="eastAsia"/>
          <w:sz w:val="24"/>
        </w:rPr>
        <w:t>40．中标公告</w:t>
      </w:r>
    </w:p>
    <w:p>
      <w:pPr>
        <w:ind w:firstLine="412" w:firstLineChars="196"/>
        <w:rPr>
          <w:rFonts w:ascii="宋体" w:hAnsi="宋体"/>
          <w:szCs w:val="21"/>
        </w:rPr>
      </w:pPr>
      <w:r>
        <w:rPr>
          <w:rFonts w:ascii="宋体" w:hAnsi="宋体" w:hint="eastAsia"/>
          <w:szCs w:val="21"/>
        </w:rPr>
        <w:t>40.1</w:t>
      </w:r>
      <w:bookmarkStart w:id="109" w:name="_Hlk72438709"/>
      <w:r>
        <w:rPr>
          <w:rFonts w:ascii="宋体" w:hAnsi="宋体" w:hint="eastAsia"/>
          <w:szCs w:val="21"/>
        </w:rPr>
        <w:t>为体现“公开、公平、公正”的原则，评审结束后经采购人确认（确定）评审结果，政府集中采购机构将在“深圳政府采购智慧平台（http://zfcg.szggzy.com:8081/）”上发布中标结果公告。</w:t>
      </w:r>
      <w:bookmarkEnd w:id="109"/>
      <w:bookmarkStart w:id="110" w:name="_Hlk72438751"/>
      <w:r>
        <w:rPr>
          <w:rFonts w:ascii="宋体" w:hAnsi="宋体" w:hint="eastAsia"/>
          <w:szCs w:val="21"/>
        </w:rPr>
        <w:t>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提出。 监督电话：0755-83948143。</w:t>
      </w:r>
      <w:r>
        <w:rPr>
          <w:rFonts w:ascii="宋体" w:hAnsi="宋体" w:hint="eastAsia"/>
          <w:szCs w:val="21"/>
        </w:rPr>
        <w:t>若在公示期内未提出质疑，则视为认同该评审结果。</w:t>
      </w:r>
    </w:p>
    <w:p>
      <w:pPr>
        <w:ind w:firstLine="412" w:firstLineChars="196"/>
        <w:rPr>
          <w:rFonts w:ascii="宋体" w:hAnsi="宋体"/>
          <w:szCs w:val="21"/>
        </w:rPr>
      </w:pPr>
      <w:bookmarkEnd w:id="110"/>
      <w:r>
        <w:rPr>
          <w:rFonts w:ascii="宋体" w:hAnsi="宋体" w:hint="eastAsia"/>
          <w:szCs w:val="21"/>
        </w:rPr>
        <w:t>40.2质疑、投诉供应商应保证质疑、投诉内容的真实性和可靠性，并承担相应的法律责任。</w:t>
      </w:r>
    </w:p>
    <w:p>
      <w:pPr>
        <w:rPr>
          <w:rFonts w:ascii="黑体" w:eastAsia="黑体" w:hAnsi="宋体"/>
          <w:sz w:val="24"/>
        </w:rPr>
      </w:pPr>
      <w:r>
        <w:rPr>
          <w:rFonts w:ascii="黑体" w:eastAsia="黑体" w:hAnsi="宋体" w:hint="eastAsia"/>
          <w:sz w:val="24"/>
        </w:rPr>
        <w:t>41．中标通知书</w:t>
      </w:r>
    </w:p>
    <w:p>
      <w:pPr>
        <w:ind w:firstLine="412" w:firstLineChars="196"/>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bookmarkStart w:id="111" w:name="_Hlk72438863"/>
      <w:r>
        <w:rPr>
          <w:rFonts w:ascii="宋体" w:hAnsi="宋体" w:hint="eastAsia"/>
          <w:szCs w:val="21"/>
        </w:rPr>
        <w:t>中标公告公布以后无异常的情况下,中标供应商和采购人可自行在“深圳政府采购智慧平台（http://zfcg.szggzy.com:8081/）”上打印</w:t>
      </w:r>
      <w:r>
        <w:rPr>
          <w:rFonts w:ascii="宋体" w:hAnsi="宋体" w:hint="eastAsia"/>
          <w:b/>
          <w:szCs w:val="21"/>
        </w:rPr>
        <w:t>《数字中标通知书》（</w:t>
      </w:r>
      <w:r>
        <w:rPr>
          <w:rFonts w:ascii="宋体" w:hAnsi="宋体" w:hint="eastAsia"/>
          <w:szCs w:val="21"/>
        </w:rPr>
        <w:t>咨询电话：</w:t>
      </w:r>
      <w:r>
        <w:rPr>
          <w:rFonts w:ascii="宋体" w:hAnsi="宋体" w:hint="eastAsia"/>
          <w:b/>
          <w:bCs/>
          <w:szCs w:val="21"/>
        </w:rPr>
        <w:t>0755-88653300，转6</w:t>
      </w:r>
      <w:r>
        <w:rPr>
          <w:rFonts w:ascii="宋体" w:hAnsi="宋体" w:hint="eastAsia"/>
          <w:szCs w:val="21"/>
        </w:rPr>
        <w:t>）。</w:t>
      </w:r>
      <w:bookmarkEnd w:id="111"/>
    </w:p>
    <w:p>
      <w:pPr>
        <w:ind w:firstLine="412" w:firstLineChars="196"/>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pPr>
        <w:ind w:firstLine="412" w:firstLineChars="196"/>
        <w:rPr>
          <w:rFonts w:ascii="宋体" w:hAnsi="宋体"/>
          <w:szCs w:val="21"/>
        </w:rPr>
      </w:pPr>
      <w:bookmarkStart w:id="112" w:name="_Hlk71407340"/>
      <w:r>
        <w:rPr>
          <w:rFonts w:ascii="宋体" w:hAnsi="宋体" w:hint="eastAsia"/>
          <w:szCs w:val="21"/>
        </w:rPr>
        <w:t>41.3因质疑投诉或其它原因导致项目结果变更或采购终止的，政府集中采购机构有权吊销中标通知书。</w:t>
      </w:r>
    </w:p>
    <w:p>
      <w:pPr>
        <w:pStyle w:val="Heading2"/>
        <w:numPr>
          <w:ilvl w:val="0"/>
          <w:numId w:val="8"/>
        </w:numPr>
        <w:spacing w:before="120" w:beforeLines="50" w:after="120" w:afterLines="50"/>
        <w:ind w:left="562" w:hanging="562"/>
        <w:rPr>
          <w:sz w:val="28"/>
          <w:szCs w:val="28"/>
        </w:rPr>
      </w:pPr>
      <w:bookmarkEnd w:id="112"/>
      <w:r>
        <w:rPr>
          <w:rFonts w:hint="eastAsia"/>
          <w:sz w:val="28"/>
          <w:szCs w:val="28"/>
        </w:rPr>
        <w:t>公开招标失败的后续处理</w:t>
      </w:r>
    </w:p>
    <w:p>
      <w:pPr>
        <w:rPr>
          <w:rFonts w:ascii="黑体" w:eastAsia="黑体" w:hAnsi="宋体"/>
          <w:sz w:val="24"/>
        </w:rPr>
      </w:pPr>
      <w:r>
        <w:rPr>
          <w:rFonts w:ascii="黑体" w:eastAsia="黑体" w:hAnsi="宋体" w:hint="eastAsia"/>
          <w:sz w:val="24"/>
        </w:rPr>
        <w:t>42．公开招标失败的处理</w:t>
      </w:r>
    </w:p>
    <w:p>
      <w:pPr>
        <w:ind w:firstLine="412" w:firstLineChars="196"/>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pPr>
        <w:ind w:firstLine="412" w:firstLineChars="196"/>
        <w:rPr>
          <w:rFonts w:ascii="宋体" w:hAnsi="宋体"/>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pPr>
        <w:ind w:firstLine="412" w:firstLineChars="196"/>
        <w:rPr>
          <w:rFonts w:ascii="宋体" w:hAnsi="宋体"/>
          <w:szCs w:val="21"/>
        </w:rPr>
      </w:pPr>
      <w:r>
        <w:rPr>
          <w:rFonts w:ascii="宋体" w:hAnsi="宋体" w:hint="eastAsia"/>
          <w:szCs w:val="21"/>
        </w:rPr>
        <w:t>42.3重新组织采购有以下两种组织形式：</w:t>
      </w:r>
    </w:p>
    <w:p>
      <w:pPr>
        <w:ind w:firstLine="412" w:firstLineChars="196"/>
        <w:rPr>
          <w:rFonts w:ascii="宋体" w:hAnsi="宋体"/>
        </w:rPr>
      </w:pPr>
      <w:r>
        <w:rPr>
          <w:rFonts w:ascii="宋体" w:hAnsi="宋体" w:hint="eastAsia"/>
        </w:rPr>
        <w:t>（1）由政府集中采购机构重新组织公开招标；</w:t>
      </w:r>
    </w:p>
    <w:p>
      <w:pPr>
        <w:ind w:firstLine="412" w:firstLineChars="196"/>
        <w:rPr>
          <w:rFonts w:ascii="宋体" w:hAnsi="宋体"/>
        </w:rPr>
      </w:pPr>
      <w:r>
        <w:rPr>
          <w:rFonts w:ascii="宋体" w:hAnsi="宋体" w:hint="eastAsia"/>
        </w:rPr>
        <w:t>（2）根据实际情况需要向同级财政部门提出非公开招标方式申请，经同级财政部门批准，公开招标失败采购项目可转为竞争性谈判或单一来源谈判方式采购。</w:t>
      </w:r>
    </w:p>
    <w:p>
      <w:pPr>
        <w:ind w:firstLine="412" w:firstLineChars="196"/>
        <w:rPr>
          <w:rFonts w:ascii="宋体" w:hAnsi="宋体"/>
        </w:rPr>
      </w:pPr>
      <w:r>
        <w:rPr>
          <w:rFonts w:ascii="宋体" w:hAnsi="宋体" w:hint="eastAsia"/>
        </w:rPr>
        <w:t>42.4公开招标失败的采购项目重新组织公开招标，由政府集中采购机构重新按公开招标流程组织采购活动。</w:t>
      </w:r>
    </w:p>
    <w:p>
      <w:pPr>
        <w:rPr>
          <w:rFonts w:ascii="宋体" w:hAnsi="宋体"/>
        </w:rPr>
      </w:pPr>
      <w:r>
        <w:rPr>
          <w:rFonts w:ascii="宋体" w:hAnsi="宋体" w:hint="eastAsia"/>
        </w:rPr>
        <w:t>42.5公开招标失败的采购项目经同级财政部门批准转为竞争性谈判或单一来源谈判方式采购的，按规定要求组织政府采购工作。</w:t>
      </w:r>
    </w:p>
    <w:p>
      <w:pPr>
        <w:pStyle w:val="Heading2"/>
        <w:numPr>
          <w:ilvl w:val="0"/>
          <w:numId w:val="8"/>
        </w:numPr>
        <w:spacing w:before="120" w:beforeLines="50" w:after="120" w:afterLines="50"/>
        <w:ind w:left="562" w:hanging="562"/>
        <w:rPr>
          <w:sz w:val="28"/>
          <w:szCs w:val="28"/>
        </w:rPr>
      </w:pPr>
      <w:bookmarkStart w:id="113" w:name="_Hlk72439043"/>
      <w:r>
        <w:rPr>
          <w:rFonts w:hint="eastAsia"/>
          <w:sz w:val="28"/>
          <w:szCs w:val="28"/>
        </w:rPr>
        <w:t>合同的授予与备案</w:t>
      </w:r>
      <w:bookmarkEnd w:id="113"/>
    </w:p>
    <w:p>
      <w:pPr>
        <w:rPr>
          <w:rFonts w:ascii="黑体" w:eastAsia="黑体" w:hAnsi="宋体"/>
          <w:sz w:val="24"/>
        </w:rPr>
      </w:pPr>
      <w:bookmarkStart w:id="114" w:name="_Toc100052408"/>
      <w:bookmarkStart w:id="115" w:name="_Toc73517679"/>
      <w:bookmarkStart w:id="116" w:name="_Toc73521586"/>
      <w:bookmarkStart w:id="117" w:name="_Toc73518157"/>
      <w:bookmarkStart w:id="118" w:name="_Toc73521674"/>
      <w:bookmarkStart w:id="119" w:name="_Hlk72439088"/>
      <w:r>
        <w:rPr>
          <w:rFonts w:ascii="黑体" w:eastAsia="黑体" w:hAnsi="宋体" w:hint="eastAsia"/>
          <w:sz w:val="24"/>
        </w:rPr>
        <w:t>43．合同授予标准</w:t>
      </w:r>
      <w:bookmarkEnd w:id="114"/>
      <w:bookmarkEnd w:id="115"/>
      <w:bookmarkEnd w:id="116"/>
      <w:bookmarkEnd w:id="117"/>
      <w:bookmarkEnd w:id="118"/>
    </w:p>
    <w:p>
      <w:pPr>
        <w:ind w:firstLine="412" w:firstLineChars="196"/>
        <w:rPr>
          <w:rFonts w:ascii="宋体" w:hAnsi="宋体"/>
          <w:szCs w:val="21"/>
        </w:rPr>
      </w:pPr>
      <w:r>
        <w:rPr>
          <w:rFonts w:ascii="宋体" w:hAnsi="宋体" w:hint="eastAsia"/>
          <w:szCs w:val="21"/>
        </w:rPr>
        <w:t>本项目的合同将授予经本招标文件规定评审确定的中标供应商。</w:t>
      </w:r>
    </w:p>
    <w:p>
      <w:pPr>
        <w:rPr>
          <w:rFonts w:ascii="黑体" w:eastAsia="黑体" w:hAnsi="宋体"/>
          <w:sz w:val="24"/>
        </w:rPr>
      </w:pPr>
      <w:bookmarkStart w:id="120" w:name="_Toc73521587"/>
      <w:bookmarkStart w:id="121" w:name="_Toc100052409"/>
      <w:bookmarkStart w:id="122" w:name="_Toc73521675"/>
      <w:bookmarkStart w:id="123" w:name="_Toc73518158"/>
      <w:bookmarkStart w:id="124" w:name="_Toc73517680"/>
      <w:r>
        <w:rPr>
          <w:rFonts w:ascii="黑体" w:eastAsia="黑体" w:hAnsi="宋体" w:hint="eastAsia"/>
          <w:sz w:val="24"/>
        </w:rPr>
        <w:t>44．</w:t>
      </w:r>
      <w:bookmarkEnd w:id="120"/>
      <w:bookmarkEnd w:id="121"/>
      <w:bookmarkEnd w:id="122"/>
      <w:bookmarkEnd w:id="123"/>
      <w:bookmarkEnd w:id="124"/>
      <w:r>
        <w:rPr>
          <w:rFonts w:ascii="黑体" w:eastAsia="黑体" w:hAnsi="宋体" w:hint="eastAsia"/>
          <w:sz w:val="24"/>
        </w:rPr>
        <w:t>接受和拒绝任何或所有投标的权力</w:t>
      </w:r>
    </w:p>
    <w:p>
      <w:pPr>
        <w:ind w:firstLine="412" w:firstLineChars="196"/>
        <w:rPr>
          <w:rFonts w:ascii="宋体" w:hAnsi="宋体"/>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eastAsia="黑体" w:hAnsi="宋体"/>
          <w:sz w:val="24"/>
        </w:rPr>
      </w:pPr>
      <w:bookmarkStart w:id="125" w:name="_Toc100052410"/>
      <w:bookmarkStart w:id="126" w:name="_Toc73517682"/>
      <w:bookmarkStart w:id="127" w:name="_Toc73521589"/>
      <w:bookmarkStart w:id="128" w:name="_Toc73518160"/>
      <w:bookmarkStart w:id="129" w:name="_Toc73521677"/>
      <w:r>
        <w:rPr>
          <w:rFonts w:ascii="黑体" w:eastAsia="黑体" w:hAnsi="宋体" w:hint="eastAsia"/>
          <w:sz w:val="24"/>
        </w:rPr>
        <w:t>45．合同的签订</w:t>
      </w:r>
      <w:bookmarkEnd w:id="125"/>
      <w:bookmarkEnd w:id="126"/>
      <w:bookmarkEnd w:id="127"/>
      <w:bookmarkEnd w:id="128"/>
      <w:bookmarkEnd w:id="129"/>
    </w:p>
    <w:p>
      <w:pPr>
        <w:ind w:firstLine="412" w:firstLineChars="196"/>
        <w:rPr>
          <w:rFonts w:ascii="宋体" w:hAnsi="宋体"/>
          <w:szCs w:val="21"/>
        </w:rPr>
      </w:pPr>
      <w:r>
        <w:rPr>
          <w:rFonts w:ascii="宋体" w:hAnsi="宋体" w:hint="eastAsia"/>
          <w:szCs w:val="21"/>
        </w:rPr>
        <w:t>45.1中标人将于中标通知书发出之日起十个工作日内，按照采购文件（招标文件和投标文件等）内容与采购人签订政府采购合同；合同的实质性内容应当符合招标文件的规定；</w:t>
      </w:r>
    </w:p>
    <w:p>
      <w:pPr>
        <w:ind w:firstLine="412" w:firstLineChars="196"/>
        <w:rPr>
          <w:rFonts w:ascii="宋体" w:hAnsi="宋体"/>
          <w:szCs w:val="21"/>
        </w:rPr>
      </w:pPr>
      <w:r>
        <w:rPr>
          <w:rFonts w:ascii="宋体" w:hAnsi="宋体" w:hint="eastAsia"/>
          <w:szCs w:val="21"/>
        </w:rPr>
        <w:t>45.2中标人如不按本通用条款第45</w:t>
      </w:r>
      <w:r>
        <w:rPr>
          <w:rFonts w:ascii="宋体" w:hAnsi="宋体"/>
          <w:szCs w:val="21"/>
        </w:rPr>
        <w:t>.1</w:t>
      </w:r>
      <w:r>
        <w:rPr>
          <w:rFonts w:ascii="宋体" w:hAnsi="宋体" w:hint="eastAsia"/>
          <w:szCs w:val="21"/>
        </w:rPr>
        <w:t>款的规定与采购人签订合同，</w:t>
      </w:r>
      <w:r>
        <w:rPr>
          <w:rFonts w:ascii="宋体" w:hAnsi="宋体" w:cs="宋体"/>
          <w:kern w:val="0"/>
          <w:szCs w:val="21"/>
        </w:rPr>
        <w:t>情节严重的，由</w:t>
      </w:r>
      <w:r>
        <w:rPr>
          <w:rFonts w:ascii="宋体" w:hAnsi="宋体" w:cs="宋体" w:hint="eastAsia"/>
          <w:kern w:val="0"/>
          <w:szCs w:val="21"/>
        </w:rPr>
        <w:t>同级财政</w:t>
      </w:r>
      <w:r>
        <w:rPr>
          <w:rFonts w:ascii="宋体" w:hAnsi="宋体" w:cs="宋体"/>
          <w:kern w:val="0"/>
          <w:szCs w:val="21"/>
        </w:rPr>
        <w:t>部门记入供应商诚信档案，予以通报</w:t>
      </w:r>
      <w:r>
        <w:rPr>
          <w:rFonts w:ascii="宋体" w:hAnsi="宋体" w:hint="eastAsia"/>
          <w:szCs w:val="21"/>
        </w:rPr>
        <w:t>；</w:t>
      </w:r>
    </w:p>
    <w:p>
      <w:pPr>
        <w:ind w:firstLine="412" w:firstLineChars="196"/>
        <w:rPr>
          <w:rFonts w:ascii="宋体" w:hAnsi="宋体"/>
          <w:szCs w:val="21"/>
        </w:rPr>
      </w:pPr>
      <w:r>
        <w:rPr>
          <w:rFonts w:ascii="宋体" w:hAnsi="宋体" w:hint="eastAsia"/>
          <w:szCs w:val="21"/>
        </w:rPr>
        <w:t>45.3中标人应当按照合同约定履行义务，完成中标项目，不得将中标项目转让（转包）给他人。</w:t>
      </w:r>
    </w:p>
    <w:p>
      <w:pPr>
        <w:rPr>
          <w:rFonts w:ascii="黑体" w:eastAsia="黑体" w:hAnsi="宋体"/>
          <w:sz w:val="24"/>
        </w:rPr>
      </w:pPr>
      <w:bookmarkStart w:id="130" w:name="_Toc100052411"/>
      <w:bookmarkStart w:id="131" w:name="_Toc73518161"/>
      <w:bookmarkStart w:id="132" w:name="_Toc73517683"/>
      <w:bookmarkStart w:id="133" w:name="_Toc73521678"/>
      <w:bookmarkStart w:id="134" w:name="_Toc73521590"/>
      <w:r>
        <w:rPr>
          <w:rFonts w:ascii="黑体" w:eastAsia="黑体" w:hAnsi="宋体" w:hint="eastAsia"/>
          <w:sz w:val="24"/>
        </w:rPr>
        <w:t>46．履约担保</w:t>
      </w:r>
      <w:bookmarkEnd w:id="130"/>
      <w:bookmarkEnd w:id="131"/>
      <w:bookmarkEnd w:id="132"/>
      <w:bookmarkEnd w:id="133"/>
      <w:bookmarkEnd w:id="134"/>
    </w:p>
    <w:p>
      <w:pPr>
        <w:ind w:firstLine="412" w:firstLineChars="196"/>
        <w:rPr>
          <w:rFonts w:ascii="宋体" w:hAnsi="宋体"/>
          <w:szCs w:val="21"/>
        </w:rPr>
      </w:pPr>
      <w:r>
        <w:rPr>
          <w:rFonts w:ascii="宋体" w:hAnsi="宋体" w:hint="eastAsia"/>
          <w:szCs w:val="21"/>
        </w:rPr>
        <w:t>46.1在签订项目合同的同时，中标人应按“对通用条款的补充内容”中规定的金额向采购人提交履约担保；</w:t>
      </w:r>
    </w:p>
    <w:p>
      <w:pPr>
        <w:ind w:firstLine="412" w:firstLineChars="196"/>
        <w:rPr>
          <w:rFonts w:ascii="宋体" w:hAnsi="宋体"/>
          <w:szCs w:val="21"/>
        </w:rPr>
      </w:pPr>
      <w:r>
        <w:rPr>
          <w:rFonts w:ascii="宋体" w:hAnsi="宋体" w:hint="eastAsia"/>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eastAsia="黑体" w:hAnsi="宋体"/>
          <w:sz w:val="24"/>
        </w:rPr>
      </w:pPr>
      <w:r>
        <w:rPr>
          <w:rFonts w:ascii="黑体" w:eastAsia="黑体" w:hAnsi="宋体" w:hint="eastAsia"/>
          <w:sz w:val="24"/>
        </w:rPr>
        <w:t>47. 合同备案</w:t>
      </w:r>
    </w:p>
    <w:p>
      <w:pPr>
        <w:ind w:firstLine="412" w:firstLineChars="196"/>
        <w:rPr>
          <w:rFonts w:ascii="宋体" w:hAnsi="宋体"/>
          <w:szCs w:val="21"/>
        </w:rPr>
      </w:pPr>
      <w:r>
        <w:rPr>
          <w:rFonts w:ascii="宋体" w:hAnsi="宋体" w:hint="eastAsia"/>
          <w:szCs w:val="21"/>
        </w:rPr>
        <w:t>采购人与中标人应于合同签订之日起十日内，由采购人或委托中标人将采购合同副本抄送合同备案工作实施机构备案。</w:t>
      </w:r>
    </w:p>
    <w:p>
      <w:pPr>
        <w:rPr>
          <w:rFonts w:ascii="黑体" w:eastAsia="黑体" w:hAnsi="宋体"/>
          <w:sz w:val="24"/>
        </w:rPr>
      </w:pPr>
      <w:r>
        <w:rPr>
          <w:rFonts w:ascii="黑体" w:eastAsia="黑体" w:hAnsi="宋体" w:hint="eastAsia"/>
          <w:sz w:val="24"/>
        </w:rPr>
        <w:t>48. 合同变更</w:t>
      </w:r>
    </w:p>
    <w:p>
      <w:pPr>
        <w:ind w:firstLine="412" w:firstLineChars="196"/>
        <w:rPr>
          <w:rFonts w:ascii="宋体" w:hAnsi="宋体"/>
          <w:szCs w:val="21"/>
        </w:rPr>
      </w:pPr>
      <w:r>
        <w:rPr>
          <w:rFonts w:ascii="宋体" w:hAnsi="宋体" w:hint="eastAsia"/>
          <w:szCs w:val="21"/>
        </w:rPr>
        <w:t>合同变更事宜按《深圳市财政局关于优化政府采购合同备案的通知》（深财发保〔2022〕2号）相关规定执行。</w:t>
      </w:r>
    </w:p>
    <w:p>
      <w:pPr>
        <w:rPr>
          <w:rFonts w:ascii="黑体" w:eastAsia="黑体" w:hAnsi="宋体"/>
          <w:sz w:val="24"/>
        </w:rPr>
      </w:pPr>
      <w:r>
        <w:rPr>
          <w:rFonts w:ascii="黑体" w:eastAsia="黑体" w:hAnsi="宋体" w:hint="eastAsia"/>
          <w:sz w:val="24"/>
        </w:rPr>
        <w:t>49. 项目验收</w:t>
      </w:r>
    </w:p>
    <w:p>
      <w:pPr>
        <w:widowControl/>
        <w:ind w:right="176" w:firstLine="420"/>
        <w:jc w:val="left"/>
        <w:rPr>
          <w:rFonts w:ascii="宋体" w:hAnsi="宋体"/>
        </w:rPr>
      </w:pPr>
      <w:r>
        <w:rPr>
          <w:rFonts w:ascii="宋体" w:hAnsi="宋体" w:hint="eastAsia"/>
        </w:rPr>
        <w:t>49.1采购人应当按照招标文件和合同规定的标准和方法，及时组织验收。</w:t>
      </w:r>
    </w:p>
    <w:p>
      <w:pPr>
        <w:rPr>
          <w:rFonts w:ascii="黑体" w:eastAsia="黑体" w:hAnsi="宋体"/>
          <w:sz w:val="24"/>
        </w:rPr>
      </w:pPr>
      <w:r>
        <w:rPr>
          <w:rFonts w:ascii="黑体" w:eastAsia="黑体" w:hAnsi="宋体" w:hint="eastAsia"/>
          <w:sz w:val="24"/>
        </w:rPr>
        <w:t>50. 宣传</w:t>
      </w:r>
    </w:p>
    <w:p>
      <w:pPr>
        <w:ind w:left="210" w:firstLine="412" w:leftChars="100" w:firstLineChars="196"/>
        <w:rPr>
          <w:rFonts w:ascii="宋体" w:hAnsi="宋体"/>
        </w:rPr>
      </w:pPr>
      <w:r>
        <w:rPr>
          <w:rFonts w:ascii="宋体" w:hAnsi="宋体" w:hint="eastAsia"/>
        </w:rPr>
        <w:t>凡与政府采购活动有关的宣传或广告，若当中提及政府采购，</w:t>
      </w:r>
      <w:r>
        <w:rPr>
          <w:rFonts w:ascii="宋体" w:hAnsi="宋体"/>
        </w:rPr>
        <w:t>必须事先将具体对外宣传方案报</w:t>
      </w:r>
      <w:r>
        <w:rPr>
          <w:rFonts w:ascii="宋体" w:hAnsi="宋体" w:hint="eastAsia"/>
        </w:rPr>
        <w:t>同级财政部门</w:t>
      </w:r>
      <w:r>
        <w:rPr>
          <w:rFonts w:ascii="宋体" w:hAnsi="宋体"/>
        </w:rPr>
        <w:t>和</w:t>
      </w:r>
      <w:r>
        <w:rPr>
          <w:rFonts w:ascii="宋体" w:hAnsi="宋体" w:hint="eastAsia"/>
        </w:rPr>
        <w:t>政府集中采购机构</w:t>
      </w:r>
      <w:r>
        <w:rPr>
          <w:rFonts w:ascii="宋体" w:hAnsi="宋体"/>
        </w:rPr>
        <w:t>，并征得其同意。对外市场宣传包括但不限于以下形式：</w:t>
      </w:r>
    </w:p>
    <w:p>
      <w:pPr>
        <w:ind w:left="210" w:firstLine="412" w:leftChars="100" w:firstLineChars="196"/>
        <w:rPr>
          <w:rFonts w:ascii="宋体" w:hAnsi="宋体"/>
        </w:rPr>
      </w:pPr>
      <w:r>
        <w:rPr>
          <w:rFonts w:ascii="宋体" w:hAnsi="宋体"/>
        </w:rPr>
        <w:t>a.名片、宣传册、广告标语等；</w:t>
      </w:r>
    </w:p>
    <w:p>
      <w:pPr>
        <w:ind w:left="210" w:firstLine="412" w:leftChars="100" w:firstLineChars="196"/>
        <w:rPr>
          <w:rFonts w:ascii="宋体" w:hAnsi="宋体"/>
        </w:rPr>
      </w:pPr>
      <w:r>
        <w:rPr>
          <w:rFonts w:ascii="宋体" w:hAnsi="宋体"/>
        </w:rPr>
        <w:t>b.案例介绍、推广等；</w:t>
      </w:r>
    </w:p>
    <w:p>
      <w:pPr>
        <w:ind w:left="210" w:firstLine="412" w:leftChars="100" w:firstLineChars="196"/>
        <w:rPr>
          <w:rFonts w:ascii="宋体" w:hAnsi="宋体"/>
        </w:rPr>
      </w:pPr>
      <w:r>
        <w:rPr>
          <w:rFonts w:ascii="宋体" w:hAnsi="宋体" w:hint="eastAsia"/>
        </w:rPr>
        <w:t>c.工作</w:t>
      </w:r>
      <w:r>
        <w:rPr>
          <w:rFonts w:ascii="宋体" w:hAnsi="宋体"/>
        </w:rPr>
        <w:t>人员向其他消费群体宣传。</w:t>
      </w:r>
    </w:p>
    <w:p>
      <w:pPr>
        <w:rPr>
          <w:rFonts w:ascii="黑体" w:eastAsia="黑体" w:hAnsi="宋体"/>
          <w:sz w:val="24"/>
        </w:rPr>
      </w:pPr>
      <w:r>
        <w:rPr>
          <w:rFonts w:ascii="黑体" w:eastAsia="黑体" w:hAnsi="宋体" w:hint="eastAsia"/>
          <w:sz w:val="24"/>
        </w:rPr>
        <w:t>51. 供应商违法责任</w:t>
      </w:r>
    </w:p>
    <w:p>
      <w:pPr>
        <w:ind w:firstLine="412" w:firstLineChars="196"/>
        <w:rPr>
          <w:rFonts w:ascii="宋体" w:hAnsi="宋体"/>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2" w:firstLineChars="196"/>
        <w:rPr>
          <w:rFonts w:ascii="宋体" w:hAnsi="宋体"/>
          <w:szCs w:val="21"/>
        </w:rPr>
      </w:pPr>
      <w:r>
        <w:rPr>
          <w:rFonts w:ascii="宋体" w:hAnsi="宋体" w:hint="eastAsia"/>
          <w:szCs w:val="21"/>
        </w:rPr>
        <w:t>（1）在采购活动中应当回避而未回避的；</w:t>
      </w:r>
    </w:p>
    <w:p>
      <w:pPr>
        <w:ind w:firstLine="412" w:firstLineChars="196"/>
        <w:rPr>
          <w:rFonts w:ascii="宋体" w:hAnsi="宋体"/>
          <w:szCs w:val="21"/>
        </w:rPr>
      </w:pPr>
      <w:r>
        <w:rPr>
          <w:rFonts w:ascii="宋体" w:hAnsi="宋体" w:hint="eastAsia"/>
          <w:szCs w:val="21"/>
        </w:rPr>
        <w:t>（2）未按本条例规定签订、履行采购合同，造成严重后果的；</w:t>
      </w:r>
    </w:p>
    <w:p>
      <w:pPr>
        <w:ind w:firstLine="412" w:firstLineChars="196"/>
        <w:rPr>
          <w:rFonts w:ascii="宋体" w:hAnsi="宋体"/>
          <w:szCs w:val="21"/>
        </w:rPr>
      </w:pPr>
      <w:r>
        <w:rPr>
          <w:rFonts w:ascii="宋体" w:hAnsi="宋体" w:hint="eastAsia"/>
          <w:szCs w:val="21"/>
        </w:rPr>
        <w:t>（3）隐瞒真实情况，提供虚假资料的；</w:t>
      </w:r>
    </w:p>
    <w:p>
      <w:pPr>
        <w:ind w:firstLine="412" w:firstLineChars="196"/>
        <w:rPr>
          <w:rFonts w:ascii="宋体" w:hAnsi="宋体"/>
          <w:szCs w:val="21"/>
        </w:rPr>
      </w:pPr>
      <w:r>
        <w:rPr>
          <w:rFonts w:ascii="宋体" w:hAnsi="宋体" w:hint="eastAsia"/>
          <w:szCs w:val="21"/>
        </w:rPr>
        <w:t>（4）以非法手段排斥其他供应商参与竞争的；</w:t>
      </w:r>
    </w:p>
    <w:p>
      <w:pPr>
        <w:ind w:firstLine="412" w:firstLineChars="196"/>
        <w:rPr>
          <w:rFonts w:ascii="宋体" w:hAnsi="宋体"/>
          <w:szCs w:val="21"/>
        </w:rPr>
      </w:pPr>
      <w:r>
        <w:rPr>
          <w:rFonts w:ascii="宋体" w:hAnsi="宋体" w:hint="eastAsia"/>
          <w:szCs w:val="21"/>
        </w:rPr>
        <w:t>（5）与其他采购参加人串通投标的；</w:t>
      </w:r>
    </w:p>
    <w:p>
      <w:pPr>
        <w:ind w:firstLine="412" w:firstLineChars="196"/>
        <w:rPr>
          <w:rFonts w:ascii="宋体" w:hAnsi="宋体"/>
          <w:szCs w:val="21"/>
        </w:rPr>
      </w:pPr>
      <w:r>
        <w:rPr>
          <w:rFonts w:ascii="宋体" w:hAnsi="宋体" w:hint="eastAsia"/>
          <w:szCs w:val="21"/>
        </w:rPr>
        <w:t>（6）恶意投诉的；</w:t>
      </w:r>
    </w:p>
    <w:p>
      <w:pPr>
        <w:ind w:firstLine="412" w:firstLineChars="196"/>
        <w:rPr>
          <w:rFonts w:ascii="宋体" w:hAnsi="宋体"/>
          <w:szCs w:val="21"/>
        </w:rPr>
      </w:pPr>
      <w:r>
        <w:rPr>
          <w:rFonts w:ascii="宋体" w:hAnsi="宋体" w:hint="eastAsia"/>
          <w:szCs w:val="21"/>
        </w:rPr>
        <w:t>（7）向采购项目相关人行贿或者提供其他不当利益的；</w:t>
      </w:r>
    </w:p>
    <w:p>
      <w:pPr>
        <w:ind w:firstLine="412" w:firstLineChars="196"/>
        <w:rPr>
          <w:rFonts w:ascii="宋体" w:hAnsi="宋体"/>
          <w:szCs w:val="21"/>
        </w:rPr>
      </w:pPr>
      <w:r>
        <w:rPr>
          <w:rFonts w:ascii="宋体" w:hAnsi="宋体" w:hint="eastAsia"/>
          <w:szCs w:val="21"/>
        </w:rPr>
        <w:t>（8）阻碍、抗拒主管部门监督检查的；</w:t>
      </w:r>
    </w:p>
    <w:p>
      <w:pPr>
        <w:ind w:firstLine="412" w:firstLineChars="196"/>
        <w:rPr>
          <w:rFonts w:ascii="宋体" w:hAnsi="宋体"/>
          <w:szCs w:val="21"/>
        </w:rPr>
      </w:pPr>
      <w:r>
        <w:rPr>
          <w:rFonts w:ascii="宋体" w:hAnsi="宋体" w:hint="eastAsia"/>
          <w:szCs w:val="21"/>
        </w:rPr>
        <w:t>（9）其他违反本条例规定的行为。</w:t>
      </w:r>
    </w:p>
    <w:p>
      <w:pPr>
        <w:ind w:firstLine="412" w:firstLineChars="196"/>
        <w:rPr>
          <w:rFonts w:ascii="宋体" w:hAnsi="宋体"/>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根据《深圳市财政局关于明确政府采购保证金管理工作的通知》（深财购[2019]42号）的要求，供应商在政府采购活动中出现《深圳经济特区政府采购条例实施细则》第八十四条所列情形的，</w:t>
      </w:r>
      <w:bookmarkStart w:id="135" w:name="_Hlk72440769"/>
      <w:r>
        <w:rPr>
          <w:rFonts w:ascii="宋体" w:hAnsi="宋体" w:hint="eastAsia"/>
          <w:szCs w:val="21"/>
        </w:rPr>
        <w:t>采购人或政府集中采购机构</w:t>
      </w:r>
      <w:bookmarkEnd w:id="135"/>
      <w:r>
        <w:rPr>
          <w:rFonts w:ascii="宋体" w:hAnsi="宋体" w:hint="eastAsia"/>
          <w:szCs w:val="21"/>
        </w:rPr>
        <w:t>可将有关情况报同级财政部门，由财政部门根据实际情况记入供应商诚信档案，予以通报：</w:t>
      </w:r>
    </w:p>
    <w:p>
      <w:pPr>
        <w:ind w:firstLine="412" w:firstLineChars="196"/>
        <w:rPr>
          <w:rFonts w:ascii="宋体" w:hAnsi="宋体"/>
          <w:szCs w:val="21"/>
        </w:rPr>
      </w:pPr>
      <w:r>
        <w:rPr>
          <w:rFonts w:ascii="宋体" w:hAnsi="宋体" w:hint="eastAsia"/>
          <w:szCs w:val="21"/>
        </w:rPr>
        <w:t>（1</w:t>
      </w:r>
      <w:r>
        <w:rPr>
          <w:rFonts w:ascii="宋体" w:hAnsi="宋体"/>
          <w:szCs w:val="21"/>
        </w:rPr>
        <w:t>）投标截止后，撤销投标的；</w:t>
      </w:r>
    </w:p>
    <w:p>
      <w:pPr>
        <w:ind w:firstLine="412" w:firstLineChars="196"/>
        <w:rPr>
          <w:rFonts w:ascii="宋体" w:hAnsi="宋体"/>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pPr>
        <w:ind w:firstLine="412" w:firstLineChars="196"/>
        <w:rPr>
          <w:rFonts w:ascii="宋体" w:hAnsi="宋体"/>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）将中标项目转让给他人、或者在投标文件中未说明且未经采购人、采购招标机构同意，将中标项目分包给他人的；</w:t>
      </w:r>
    </w:p>
    <w:p>
      <w:pPr>
        <w:ind w:firstLine="412" w:firstLineChars="196"/>
        <w:rPr>
          <w:rFonts w:ascii="宋体" w:hAnsi="宋体"/>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pPr>
        <w:pStyle w:val="Heading2"/>
        <w:numPr>
          <w:ilvl w:val="0"/>
          <w:numId w:val="8"/>
        </w:numPr>
        <w:spacing w:before="120" w:beforeLines="50" w:after="120" w:afterLines="50"/>
        <w:ind w:left="562" w:hanging="562"/>
        <w:rPr>
          <w:sz w:val="28"/>
          <w:szCs w:val="28"/>
        </w:rPr>
      </w:pPr>
      <w:bookmarkEnd w:id="119"/>
      <w:r>
        <w:rPr>
          <w:rFonts w:hint="eastAsia"/>
          <w:sz w:val="28"/>
          <w:szCs w:val="28"/>
        </w:rPr>
        <w:t>质疑处理</w:t>
      </w:r>
    </w:p>
    <w:p>
      <w:pPr>
        <w:rPr>
          <w:rFonts w:ascii="黑体" w:eastAsia="黑体" w:hAnsi="宋体"/>
          <w:sz w:val="24"/>
        </w:rPr>
      </w:pPr>
      <w:bookmarkStart w:id="136" w:name="_Hlk72439706"/>
      <w:r>
        <w:rPr>
          <w:rFonts w:ascii="黑体" w:eastAsia="黑体" w:hAnsi="宋体" w:hint="eastAsia"/>
          <w:sz w:val="24"/>
        </w:rPr>
        <w:t>52.质疑提出与答复</w:t>
      </w:r>
    </w:p>
    <w:p>
      <w:pPr>
        <w:rPr>
          <w:rFonts w:ascii="宋体" w:hAnsi="宋体"/>
          <w:szCs w:val="21"/>
        </w:rPr>
      </w:pPr>
      <w:r>
        <w:rPr>
          <w:rFonts w:ascii="宋体" w:hAnsi="宋体" w:hint="eastAsia"/>
          <w:szCs w:val="21"/>
        </w:rPr>
        <w:t xml:space="preserve">    52.1提出质疑</w:t>
      </w:r>
    </w:p>
    <w:p>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ascii="宋体" w:hAnsi="宋体" w:hint="eastAsia"/>
          <w:szCs w:val="21"/>
        </w:rPr>
        <w:t xml:space="preserve">    52.2</w:t>
      </w:r>
      <w:r>
        <w:rPr>
          <w:rFonts w:ascii="宋体" w:hAnsi="宋体"/>
          <w:szCs w:val="21"/>
        </w:rPr>
        <w:t>法律依据</w:t>
      </w:r>
    </w:p>
    <w:p>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pPr>
        <w:rPr>
          <w:rFonts w:ascii="宋体" w:hAnsi="宋体"/>
          <w:szCs w:val="21"/>
        </w:rPr>
      </w:pPr>
      <w:r>
        <w:rPr>
          <w:rFonts w:ascii="宋体" w:hAnsi="宋体" w:hint="eastAsia"/>
          <w:szCs w:val="21"/>
        </w:rPr>
        <w:t>52.3质疑条件</w:t>
      </w:r>
    </w:p>
    <w:p>
      <w:pPr>
        <w:rPr>
          <w:rFonts w:ascii="宋体" w:hAnsi="宋体"/>
          <w:szCs w:val="21"/>
        </w:rPr>
      </w:pPr>
      <w:r>
        <w:rPr>
          <w:rFonts w:ascii="宋体" w:hAnsi="宋体" w:hint="eastAsia"/>
          <w:szCs w:val="21"/>
        </w:rPr>
        <w:t xml:space="preserve">    52.3.1提出质疑的供应商应当是参与所质疑项目采购活动的供应商；</w:t>
      </w:r>
      <w:bookmarkStart w:id="137" w:name="_Hlk75374941"/>
      <w:r>
        <w:rPr>
          <w:rFonts w:ascii="宋体" w:hAnsi="宋体" w:hint="eastAsia"/>
          <w:szCs w:val="21"/>
        </w:rPr>
        <w:t>以联合体形式参与的，质疑应当由组成联合体的所有成员共同提出</w:t>
      </w:r>
      <w:bookmarkEnd w:id="137"/>
      <w:r>
        <w:rPr>
          <w:rFonts w:ascii="宋体" w:hAnsi="宋体" w:hint="eastAsia"/>
          <w:szCs w:val="21"/>
        </w:rPr>
        <w:t>；</w:t>
      </w:r>
    </w:p>
    <w:p>
      <w:pPr>
        <w:rPr>
          <w:rFonts w:ascii="宋体" w:hAnsi="宋体"/>
          <w:szCs w:val="21"/>
        </w:rPr>
      </w:pPr>
      <w:r>
        <w:rPr>
          <w:rFonts w:ascii="宋体" w:hAnsi="宋体" w:hint="eastAsia"/>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ascii="宋体" w:hAnsi="宋体"/>
          <w:szCs w:val="21"/>
        </w:rPr>
      </w:pPr>
      <w:r>
        <w:rPr>
          <w:rFonts w:ascii="宋体" w:hAnsi="宋体" w:hint="eastAsia"/>
          <w:szCs w:val="21"/>
        </w:rPr>
        <w:t>52.3.3应提交书面质疑函，质疑函应当包括以下内容：</w:t>
      </w:r>
    </w:p>
    <w:p>
      <w:pPr>
        <w:ind w:firstLine="420"/>
        <w:rPr>
          <w:rFonts w:ascii="宋体" w:hAnsi="宋体"/>
          <w:szCs w:val="21"/>
        </w:rPr>
      </w:pPr>
      <w:r>
        <w:rPr>
          <w:rFonts w:ascii="宋体" w:hAnsi="宋体" w:hint="eastAsia"/>
          <w:szCs w:val="21"/>
        </w:rPr>
        <w:t>（1）供应商的名称（或者姓名）、地址、邮编、邮箱、联系人及联系电话；</w:t>
      </w:r>
    </w:p>
    <w:p>
      <w:pPr>
        <w:ind w:firstLine="420" w:firstLineChars="200"/>
        <w:rPr>
          <w:rFonts w:ascii="宋体" w:hAnsi="宋体"/>
          <w:szCs w:val="21"/>
        </w:rPr>
      </w:pPr>
      <w:r>
        <w:rPr>
          <w:rFonts w:ascii="宋体" w:hAnsi="宋体" w:hint="eastAsia"/>
          <w:szCs w:val="21"/>
        </w:rPr>
        <w:t>（2）质疑项目的名称、编号；</w:t>
      </w:r>
    </w:p>
    <w:p>
      <w:pPr>
        <w:ind w:firstLine="420" w:firstLineChars="200"/>
        <w:rPr>
          <w:rFonts w:ascii="宋体" w:hAnsi="宋体"/>
          <w:szCs w:val="21"/>
        </w:rPr>
      </w:pPr>
      <w:r>
        <w:rPr>
          <w:rFonts w:ascii="宋体" w:hAnsi="宋体" w:hint="eastAsia"/>
          <w:szCs w:val="21"/>
        </w:rPr>
        <w:t>（3）具体、明确的质疑对象、质疑事项和质疑请求；</w:t>
      </w:r>
    </w:p>
    <w:p>
      <w:pPr>
        <w:ind w:firstLine="420" w:firstLineChars="200"/>
        <w:rPr>
          <w:rFonts w:ascii="宋体" w:hAnsi="宋体"/>
          <w:szCs w:val="21"/>
        </w:rPr>
      </w:pPr>
      <w:r>
        <w:rPr>
          <w:rFonts w:ascii="宋体" w:hAnsi="宋体" w:hint="eastAsia"/>
          <w:szCs w:val="21"/>
        </w:rPr>
        <w:t>（4）因质疑事项而受损害的权益；</w:t>
      </w:r>
    </w:p>
    <w:p>
      <w:pPr>
        <w:ind w:firstLine="420" w:firstLineChars="200"/>
        <w:rPr>
          <w:rFonts w:ascii="宋体" w:hAnsi="宋体"/>
          <w:szCs w:val="21"/>
        </w:rPr>
      </w:pPr>
      <w:r>
        <w:rPr>
          <w:rFonts w:ascii="宋体" w:hAnsi="宋体" w:hint="eastAsia"/>
          <w:szCs w:val="21"/>
        </w:rPr>
        <w:t>（5）事实依据；</w:t>
      </w:r>
    </w:p>
    <w:p>
      <w:pPr>
        <w:ind w:firstLine="420" w:firstLineChars="200"/>
        <w:rPr>
          <w:rFonts w:ascii="宋体" w:hAnsi="宋体"/>
          <w:szCs w:val="21"/>
        </w:rPr>
      </w:pPr>
      <w:r>
        <w:rPr>
          <w:rFonts w:ascii="宋体" w:hAnsi="宋体" w:hint="eastAsia"/>
          <w:szCs w:val="21"/>
        </w:rPr>
        <w:t>（6）必要的法律依据；</w:t>
      </w:r>
    </w:p>
    <w:p>
      <w:pPr>
        <w:ind w:firstLine="420" w:firstLineChars="200"/>
        <w:rPr>
          <w:rFonts w:ascii="宋体" w:hAnsi="宋体"/>
          <w:szCs w:val="21"/>
        </w:rPr>
      </w:pPr>
      <w:r>
        <w:rPr>
          <w:rFonts w:ascii="宋体" w:hAnsi="宋体" w:hint="eastAsia"/>
          <w:szCs w:val="21"/>
        </w:rPr>
        <w:t>（7）提出质疑的日期。</w:t>
      </w:r>
    </w:p>
    <w:p>
      <w:pPr>
        <w:ind w:firstLine="420" w:firstLineChars="200"/>
        <w:rPr>
          <w:rFonts w:ascii="宋体" w:hAnsi="宋体"/>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ascii="宋体" w:hAnsi="宋体" w:hint="eastAsia"/>
          <w:szCs w:val="21"/>
        </w:rPr>
        <w:t>52.4提交</w:t>
      </w:r>
      <w:r>
        <w:rPr>
          <w:rFonts w:ascii="宋体" w:hAnsi="宋体"/>
          <w:szCs w:val="21"/>
        </w:rPr>
        <w:t>材料</w:t>
      </w:r>
    </w:p>
    <w:p>
      <w:pPr>
        <w:ind w:firstLine="420" w:firstLineChars="200"/>
        <w:rPr>
          <w:rFonts w:ascii="宋体" w:hAnsi="宋体"/>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ascii="宋体" w:hAnsi="宋体" w:hint="eastAsia"/>
          <w:szCs w:val="21"/>
        </w:rPr>
        <w:t>52.5提交方式</w:t>
      </w:r>
    </w:p>
    <w:p>
      <w:pPr>
        <w:ind w:firstLine="420"/>
        <w:rPr>
          <w:rFonts w:ascii="宋体" w:hAnsi="宋体"/>
          <w:szCs w:val="21"/>
        </w:rPr>
      </w:pPr>
      <w:r>
        <w:rPr>
          <w:rFonts w:ascii="宋体" w:hAnsi="宋体" w:hint="eastAsia"/>
          <w:szCs w:val="21"/>
        </w:rPr>
        <w:t>5</w:t>
      </w:r>
      <w:r>
        <w:rPr>
          <w:rFonts w:ascii="宋体" w:hAnsi="宋体"/>
          <w:szCs w:val="21"/>
        </w:rPr>
        <w:t>2.5.1</w:t>
      </w:r>
      <w:r>
        <w:rPr>
          <w:rFonts w:ascii="宋体" w:hAnsi="宋体" w:hint="eastAsia"/>
          <w:szCs w:val="21"/>
        </w:rPr>
        <w:t>供应商登录“深圳政府采购智慧平台用户网上办事子系统（http://zfcg.szggzy.com:8081/TPBidder/memberLogin）”，在“【我的项目】→【项目流程】→【质疑】”中提出质疑。</w:t>
      </w:r>
    </w:p>
    <w:p>
      <w:pPr>
        <w:ind w:firstLine="420" w:firstLineChars="200"/>
        <w:rPr>
          <w:rFonts w:ascii="宋体" w:hAnsi="宋体"/>
          <w:b/>
          <w:bCs/>
          <w:szCs w:val="21"/>
        </w:rPr>
      </w:pPr>
      <w:r>
        <w:rPr>
          <w:rFonts w:ascii="宋体" w:hAnsi="宋体" w:hint="eastAsia"/>
          <w:szCs w:val="21"/>
        </w:rPr>
        <w:t>5</w:t>
      </w:r>
      <w:r>
        <w:rPr>
          <w:rFonts w:ascii="宋体" w:hAnsi="宋体"/>
          <w:szCs w:val="21"/>
        </w:rPr>
        <w:t>2.5.2</w:t>
      </w:r>
      <w:r>
        <w:rPr>
          <w:rFonts w:ascii="宋体" w:hAnsi="宋体" w:hint="eastAsia"/>
          <w:szCs w:val="21"/>
        </w:rPr>
        <w:t>请质疑供应商根据深圳政府采购智慧平台（http://zfcg.szggzy.com:8081/）所发布的质疑指引、质疑函模板填写质疑函并提交质疑材料。</w:t>
      </w:r>
      <w:r>
        <w:rPr>
          <w:rFonts w:ascii="宋体" w:hAnsi="宋体" w:hint="eastAsia"/>
          <w:b/>
          <w:bCs/>
          <w:szCs w:val="21"/>
        </w:rPr>
        <w:t>地址：深圳市南山区沙河西路3185号南山智谷A座（深圳交易集团总部大楼）27楼，质疑咨询电话：0755-86500050。</w:t>
      </w:r>
    </w:p>
    <w:p>
      <w:pPr>
        <w:ind w:firstLine="420" w:firstLineChars="200"/>
        <w:rPr>
          <w:rFonts w:ascii="宋体" w:hAnsi="宋体"/>
          <w:szCs w:val="21"/>
        </w:rPr>
      </w:pPr>
      <w:r>
        <w:rPr>
          <w:rFonts w:ascii="宋体" w:hAnsi="宋体" w:hint="eastAsia"/>
          <w:szCs w:val="21"/>
        </w:rPr>
        <w:t>52.6收文办理</w:t>
      </w:r>
      <w:r>
        <w:rPr>
          <w:rFonts w:ascii="宋体" w:hAnsi="宋体"/>
          <w:szCs w:val="21"/>
        </w:rPr>
        <w:t>程序</w:t>
      </w:r>
    </w:p>
    <w:p>
      <w:pPr>
        <w:ind w:firstLine="420" w:firstLineChars="200"/>
        <w:rPr>
          <w:rFonts w:ascii="宋体" w:hAnsi="宋体"/>
          <w:szCs w:val="21"/>
        </w:rPr>
      </w:pPr>
      <w:r>
        <w:rPr>
          <w:rFonts w:ascii="宋体" w:hAnsi="宋体" w:hint="eastAsia"/>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eastAsia="仿宋" w:hAnsi="仿宋"/>
          <w:sz w:val="28"/>
          <w:szCs w:val="28"/>
        </w:rPr>
      </w:pPr>
      <w:r>
        <w:rPr>
          <w:rFonts w:ascii="宋体" w:hAnsi="宋体" w:hint="eastAsia"/>
          <w:szCs w:val="21"/>
        </w:rPr>
        <w:t>52.6.2供应商提交的质疑材料不符合质疑条件的，视情况处理：</w:t>
      </w:r>
    </w:p>
    <w:p>
      <w:pPr>
        <w:ind w:firstLine="420" w:firstLineChars="200"/>
        <w:rPr>
          <w:rFonts w:ascii="宋体" w:hAnsi="宋体"/>
          <w:szCs w:val="21"/>
        </w:rPr>
      </w:pPr>
      <w:r>
        <w:rPr>
          <w:rFonts w:ascii="宋体" w:hAnsi="宋体" w:hint="eastAsia"/>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ascii="宋体" w:hAnsi="宋体" w:hint="eastAsia"/>
          <w:szCs w:val="21"/>
        </w:rPr>
        <w:t>供应商提交的质疑存在下列情形之一的，不予受理：</w:t>
      </w:r>
    </w:p>
    <w:p>
      <w:pPr>
        <w:ind w:firstLine="420" w:firstLineChars="200"/>
        <w:rPr>
          <w:rFonts w:ascii="宋体" w:hAnsi="宋体"/>
          <w:szCs w:val="21"/>
        </w:rPr>
      </w:pPr>
      <w:r>
        <w:rPr>
          <w:rFonts w:ascii="宋体" w:hAnsi="宋体" w:hint="eastAsia"/>
          <w:szCs w:val="21"/>
        </w:rPr>
        <w:t>（1）质疑主体不满足要求的；</w:t>
      </w:r>
    </w:p>
    <w:p>
      <w:pPr>
        <w:ind w:firstLine="420" w:firstLineChars="200"/>
        <w:rPr>
          <w:rFonts w:ascii="宋体" w:hAnsi="宋体"/>
          <w:szCs w:val="21"/>
        </w:rPr>
      </w:pPr>
      <w:r>
        <w:rPr>
          <w:rFonts w:ascii="宋体" w:hAnsi="宋体" w:hint="eastAsia"/>
          <w:szCs w:val="21"/>
        </w:rPr>
        <w:t>（2）供应商自身权益未受到损害的；</w:t>
      </w:r>
    </w:p>
    <w:p>
      <w:pPr>
        <w:ind w:firstLine="420" w:firstLineChars="200"/>
        <w:rPr>
          <w:rFonts w:ascii="宋体" w:hAnsi="宋体"/>
          <w:szCs w:val="21"/>
        </w:rPr>
      </w:pPr>
      <w:r>
        <w:rPr>
          <w:rFonts w:ascii="宋体" w:hAnsi="宋体" w:hint="eastAsia"/>
          <w:szCs w:val="21"/>
        </w:rPr>
        <w:t>（3）供应商未在法定质疑期限内提出质疑的；</w:t>
      </w:r>
    </w:p>
    <w:p>
      <w:pPr>
        <w:ind w:firstLine="420" w:firstLineChars="200"/>
        <w:rPr>
          <w:rFonts w:ascii="宋体" w:hAnsi="宋体"/>
          <w:szCs w:val="21"/>
        </w:rPr>
      </w:pPr>
      <w:r>
        <w:rPr>
          <w:rFonts w:ascii="宋体" w:hAnsi="宋体" w:hint="eastAsia"/>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ascii="宋体" w:hAnsi="宋体" w:hint="eastAsia"/>
          <w:szCs w:val="21"/>
        </w:rPr>
        <w:t>（5）其他不符合受理条件情形的。</w:t>
      </w:r>
    </w:p>
    <w:p>
      <w:pPr>
        <w:ind w:firstLine="420" w:firstLineChars="200"/>
        <w:rPr>
          <w:rFonts w:ascii="宋体" w:hAnsi="宋体"/>
          <w:szCs w:val="21"/>
        </w:rPr>
      </w:pPr>
      <w:r>
        <w:rPr>
          <w:rFonts w:ascii="宋体" w:hAnsi="宋体" w:hint="eastAsia"/>
          <w:szCs w:val="21"/>
        </w:rPr>
        <w:t>质疑事项不予受理的，政府集中采购机构应当向供应商出具不符合质疑条件告知书。</w:t>
      </w:r>
    </w:p>
    <w:p>
      <w:pPr>
        <w:rPr>
          <w:rFonts w:ascii="宋体" w:hAnsi="宋体"/>
          <w:szCs w:val="21"/>
        </w:rPr>
      </w:pPr>
      <w:r>
        <w:rPr>
          <w:rFonts w:ascii="宋体" w:hAnsi="宋体" w:hint="eastAsia"/>
          <w:szCs w:val="21"/>
        </w:rPr>
        <w:t xml:space="preserve">  52.7质疑答复时限</w:t>
      </w:r>
    </w:p>
    <w:p>
      <w:pPr>
        <w:rPr>
          <w:rFonts w:ascii="宋体" w:hAnsi="宋体"/>
          <w:szCs w:val="21"/>
        </w:rPr>
      </w:pPr>
      <w:r>
        <w:rPr>
          <w:rFonts w:ascii="宋体" w:hAnsi="宋体" w:hint="eastAsia"/>
          <w:szCs w:val="21"/>
        </w:rPr>
        <w:t xml:space="preserve">    自收文之日起七个工作日内。</w:t>
      </w:r>
    </w:p>
    <w:p>
      <w:pPr>
        <w:rPr>
          <w:rFonts w:ascii="宋体" w:hAnsi="宋体"/>
          <w:szCs w:val="21"/>
        </w:rPr>
      </w:pPr>
      <w:r>
        <w:rPr>
          <w:rFonts w:ascii="宋体" w:hAnsi="宋体" w:hint="eastAsia"/>
          <w:szCs w:val="21"/>
        </w:rPr>
        <w:t xml:space="preserve">    52.8投诉</w:t>
      </w:r>
    </w:p>
    <w:p>
      <w:pPr>
        <w:rPr>
          <w:rFonts w:ascii="宋体" w:hAnsi="宋体"/>
          <w:szCs w:val="21"/>
        </w:rPr>
      </w:pPr>
      <w:r>
        <w:rPr>
          <w:rFonts w:ascii="宋体" w:hAnsi="宋体" w:hint="eastAsia"/>
          <w:szCs w:val="21"/>
        </w:rPr>
        <w:t xml:space="preserve">    对质疑答复不满意或者未在规定时间内答复的，提出质疑的供应商可以在答复期满后15个工作日内向同级财政部门投诉。</w:t>
      </w:r>
    </w:p>
    <w:p>
      <w:pPr>
        <w:rPr>
          <w:rFonts w:ascii="黑体" w:eastAsia="黑体" w:hAnsi="宋体"/>
          <w:sz w:val="24"/>
        </w:rPr>
      </w:pPr>
      <w:r>
        <w:rPr>
          <w:rFonts w:ascii="黑体" w:eastAsia="黑体" w:hAnsi="宋体" w:hint="eastAsia"/>
          <w:sz w:val="24"/>
        </w:rPr>
        <w:t>53. 质疑后续处理</w:t>
      </w:r>
    </w:p>
    <w:p>
      <w:pPr>
        <w:rPr>
          <w:rFonts w:ascii="宋体" w:hAnsi="宋体"/>
          <w:szCs w:val="21"/>
        </w:rPr>
      </w:pPr>
      <w:r>
        <w:rPr>
          <w:rFonts w:ascii="宋体" w:hAnsi="宋体" w:hint="eastAsia"/>
          <w:szCs w:val="21"/>
        </w:rPr>
        <w:t xml:space="preserve">    53.1供应商质疑不成立，或者成立但未对中标、成交结果构成影响的，继续开展采购活动。</w:t>
      </w:r>
    </w:p>
    <w:p>
      <w:pPr>
        <w:rPr>
          <w:rFonts w:ascii="宋体" w:hAnsi="宋体"/>
          <w:szCs w:val="21"/>
        </w:rPr>
      </w:pPr>
      <w:r>
        <w:rPr>
          <w:rFonts w:ascii="宋体" w:hAnsi="宋体" w:hint="eastAsia"/>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136"/>
    </w:p>
    <w:sectPr>
      <w:pgSz w:w="11907" w:h="16840"/>
      <w:pgMar w:top="1440" w:right="1797" w:bottom="1440" w:left="1797" w:header="851" w:footer="992" w:gutter="0"/>
      <w:cols w:num="1" w:space="425"/>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64</w:t>
    </w:r>
    <w:r>
      <w:fldChar w:fldCharType="end"/>
    </w:r>
    <w:r>
      <w:t xml:space="preserve"> -</w:t>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7994"/>
        </w:tabs>
        <w:ind w:left="7994" w:hanging="360" w:leftChars="800" w:hangingChars="200"/>
      </w:pPr>
    </w:lvl>
  </w:abstractNum>
  <w:abstractNum w:abstractNumId="1">
    <w:nsid w:val="FFFFFF89"/>
    <w:multiLevelType w:val="singleLevel"/>
    <w:tmpl w:val="FFFFFF89"/>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5"/>
      <w:lvlText w:val=""/>
      <w:lvlJc w:val="left"/>
      <w:pPr>
        <w:tabs>
          <w:tab w:val="left" w:pos="420"/>
        </w:tabs>
        <w:ind w:left="420" w:hanging="420"/>
      </w:pPr>
      <w:rPr>
        <w:rFonts w:ascii="Wingdings" w:hAnsi="Wingdings" w:hint="default"/>
      </w:rPr>
    </w:lvl>
    <w:lvl w:ilvl="1">
      <w:start w:val="1"/>
      <w:numFmt w:val="bullet"/>
      <w:pStyle w:val="a4"/>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3"/>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D034486"/>
    <w:multiLevelType w:val="singleLevel"/>
    <w:tmpl w:val="4D034486"/>
    <w:lvl w:ilvl="0">
      <w:start w:val="3"/>
      <w:numFmt w:val="chineseCounting"/>
      <w:suff w:val="space"/>
      <w:lvlText w:val="第%1条"/>
      <w:lvlJc w:val="left"/>
      <w:rPr>
        <w:rFonts w:hint="eastAsia"/>
      </w:rPr>
    </w:lvl>
  </w:abstractNum>
  <w:abstractNum w:abstractNumId="7">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10"/>
  <w:trackRevisions/>
  <w:defaultTabStop w:val="42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1YzBjMDY1MjRiNTIxZjdhM2U0OGY3Zjc2NGRkMW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unhideWhenUsed="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semiHidden="0" w:uiPriority="0" w:unhideWhenUsed="0" w:qFormat="1"/>
    <w:lsdException w:name="toc 2" w:uiPriority="0" w:unhideWhenUsed="0" w:qFormat="1"/>
    <w:lsdException w:name="toc 3" w:uiPriority="0" w:unhideWhenUsed="0" w:qFormat="1"/>
    <w:lsdException w:name="toc 4" w:uiPriority="0" w:unhideWhenUsed="0" w:qFormat="1"/>
    <w:lsdException w:name="toc 5" w:uiPriority="0" w:unhideWhenUsed="0" w:qFormat="1"/>
    <w:lsdException w:name="toc 6" w:uiPriority="0" w:unhideWhenUsed="0" w:qFormat="1"/>
    <w:lsdException w:name="toc 7" w:uiPriority="0" w:unhideWhenUsed="0" w:qFormat="1"/>
    <w:lsdException w:name="toc 8" w:uiPriority="0" w:unhideWhenUsed="0" w:qFormat="1"/>
    <w:lsdException w:name="toc 9" w:uiPriority="0" w:unhideWhenUsed="0" w:qFormat="1"/>
    <w:lsdException w:name="Normal Indent" w:semiHidden="0" w:uiPriority="0" w:unhideWhenUsed="0" w:qFormat="1"/>
    <w:lsdException w:name="footnote text" w:uiPriority="0"/>
    <w:lsdException w:name="annotation text" w:semiHidden="0" w:uiPriority="0" w:unhideWhenUsed="0" w:qFormat="1"/>
    <w:lsdException w:name="header" w:semiHidden="0" w:unhideWhenUsed="0" w:qFormat="1"/>
    <w:lsdException w:name="footer" w:semiHidden="0" w:uiPriority="0" w:unhideWhenUsed="0" w:qFormat="1"/>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uiPriority="0"/>
    <w:lsdException w:name="annotation reference" w:semiHidden="0" w:unhideWhenUsed="0" w:qFormat="1"/>
    <w:lsdException w:name="line number" w:uiPriority="0"/>
    <w:lsdException w:name="page number" w:semiHidden="0" w:uiPriority="0" w:unhideWhenUsed="0" w:qFormat="1"/>
    <w:lsdException w:name="endnote reference" w:uiPriority="0"/>
    <w:lsdException w:name="endnote text" w:uiPriority="0"/>
    <w:lsdException w:name="table of authorities" w:semiHidden="0" w:uiPriority="0" w:unhideWhenUsed="0"/>
    <w:lsdException w:name="macro" w:uiPriority="0"/>
    <w:lsdException w:name="toa heading" w:uiPriority="0"/>
    <w:lsdException w:name="List" w:semiHidden="0" w:uiPriority="0" w:unhideWhenUsed="0"/>
    <w:lsdException w:name="List Bullet" w:semiHidden="0" w:uiPriority="0" w:unhideWhenUsed="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unhideWhenUsed="0" w:qFormat="1"/>
    <w:lsdException w:name="Body Text Indent" w:semiHidden="0" w:uiPriority="0" w:unhideWhenUsed="0" w:qFormat="1"/>
    <w:lsdException w:name="List Continue" w:uiPriority="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uiPriority="0"/>
    <w:lsdException w:name="Subtitle" w:semiHidden="0" w:uiPriority="0" w:unhideWhenUsed="0" w:qFormat="1"/>
    <w:lsdException w:name="Salutation" w:uiPriority="0"/>
    <w:lsdException w:name="Date" w:semiHidden="0" w:uiPriority="0" w:unhideWhenUsed="0" w:qFormat="1"/>
    <w:lsdException w:name="Body Text First Indent" w:semiHidden="0" w:uiPriority="0" w:unhideWhenUsed="0" w:qFormat="1"/>
    <w:lsdException w:name="Body Text First Indent 2" w:uiPriority="0"/>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uiPriority="0"/>
    <w:lsdException w:name="Hyperlink" w:semiHidden="0" w:unhideWhenUsed="0" w:qFormat="1"/>
    <w:lsdException w:name="FollowedHyperlink" w:semiHidden="0" w:uiPriority="0" w:unhideWhenUsed="0" w:qFormat="1"/>
    <w:lsdException w:name="Strong" w:semiHidden="0" w:uiPriority="0" w:unhideWhenUsed="0" w:qFormat="1"/>
    <w:lsdException w:name="Emphasis" w:semiHidden="0" w:uiPriority="0" w:unhideWhenUsed="0" w:qFormat="1"/>
    <w:lsdException w:name="Document Map" w:uiPriority="0" w:unhideWhenUsed="0" w:qFormat="1"/>
    <w:lsdException w:name="Plain Text" w:semiHidden="0" w:uiPriority="0" w:unhideWhenUsed="0" w:qFormat="1"/>
    <w:lsdException w:name="E-mail Signature" w:uiPriority="0"/>
    <w:lsdException w:name="Normal (Web)" w:semiHidden="0" w:unhideWhenUsed="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semiHidden="0" w:uiPriority="0" w:unhideWhenUsed="0" w:qFormat="1"/>
    <w:lsdException w:name="HTML Sample" w:uiPriority="0"/>
    <w:lsdException w:name="HTML Typewriter" w:uiPriority="0"/>
    <w:lsdException w:name="HTML Variable" w:uiPriority="0"/>
    <w:lsdException w:name="Normal Table" w:qFormat="1"/>
    <w:lsdException w:name="annotation subject" w:semiHidden="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semiHidden="0" w:uiPriority="0" w:unhideWhenUsed="0" w:qFormat="1"/>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nhideWhenUsed="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Char"/>
    <w:qFormat/>
    <w:pPr>
      <w:adjustRightInd w:val="0"/>
      <w:jc w:val="center"/>
      <w:textAlignment w:val="baseline"/>
      <w:outlineLvl w:val="1"/>
    </w:pPr>
    <w:rPr>
      <w:kern w:val="0"/>
      <w:sz w:val="24"/>
      <w:szCs w:val="20"/>
    </w:rPr>
  </w:style>
  <w:style w:type="paragraph" w:styleId="Heading3">
    <w:name w:val="heading 3"/>
    <w:basedOn w:val="Heading4"/>
    <w:next w:val="Normal"/>
    <w:link w:val="3Char1"/>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uiPriority w:val="9"/>
    <w:qFormat/>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Indent"/>
    <w:link w:val="5Char"/>
    <w:qFormat/>
    <w:pPr>
      <w:keepNext/>
      <w:keepLines/>
      <w:spacing w:before="280" w:after="290" w:line="376" w:lineRule="auto"/>
      <w:outlineLvl w:val="4"/>
    </w:pPr>
    <w:rPr>
      <w:b/>
      <w:sz w:val="28"/>
      <w:szCs w:val="20"/>
    </w:rPr>
  </w:style>
  <w:style w:type="paragraph" w:styleId="Heading6">
    <w:name w:val="heading 6"/>
    <w:basedOn w:val="Normal"/>
    <w:next w:val="NormalIndent"/>
    <w:link w:val="6Char"/>
    <w:qFormat/>
    <w:pPr>
      <w:keepNext/>
      <w:keepLines/>
      <w:spacing w:before="240" w:after="64" w:line="320" w:lineRule="auto"/>
      <w:outlineLvl w:val="5"/>
    </w:pPr>
    <w:rPr>
      <w:rFonts w:ascii="Arial" w:eastAsia="黑体" w:hAnsi="Arial"/>
      <w:b/>
      <w:sz w:val="24"/>
      <w:szCs w:val="20"/>
    </w:rPr>
  </w:style>
  <w:style w:type="paragraph" w:styleId="Heading7">
    <w:name w:val="heading 7"/>
    <w:basedOn w:val="Normal"/>
    <w:next w:val="NormalIndent"/>
    <w:link w:val="7Char"/>
    <w:qFormat/>
    <w:pPr>
      <w:keepNext/>
      <w:keepLines/>
      <w:spacing w:before="240" w:after="64" w:line="320" w:lineRule="auto"/>
      <w:outlineLvl w:val="6"/>
    </w:pPr>
    <w:rPr>
      <w:b/>
      <w:sz w:val="24"/>
      <w:szCs w:val="20"/>
    </w:rPr>
  </w:style>
  <w:style w:type="paragraph" w:styleId="Heading8">
    <w:name w:val="heading 8"/>
    <w:basedOn w:val="Normal"/>
    <w:next w:val="NormalIndent"/>
    <w:link w:val="8Char"/>
    <w:qFormat/>
    <w:pPr>
      <w:keepNext/>
      <w:keepLines/>
      <w:spacing w:before="240" w:after="64" w:line="320" w:lineRule="auto"/>
      <w:outlineLvl w:val="7"/>
    </w:pPr>
    <w:rPr>
      <w:rFonts w:ascii="Arial" w:eastAsia="黑体" w:hAnsi="Arial"/>
      <w:sz w:val="24"/>
      <w:szCs w:val="20"/>
    </w:rPr>
  </w:style>
  <w:style w:type="paragraph" w:styleId="Heading9">
    <w:name w:val="heading 9"/>
    <w:basedOn w:val="Normal"/>
    <w:next w:val="NormalIndent"/>
    <w:link w:val="9Char"/>
    <w:qFormat/>
    <w:pPr>
      <w:keepNext/>
      <w:keepLines/>
      <w:spacing w:before="240" w:after="64" w:line="320" w:lineRule="auto"/>
      <w:outlineLvl w:val="8"/>
    </w:pPr>
    <w:rPr>
      <w:rFonts w:ascii="Arial" w:eastAsia="黑体" w:hAnsi="Arial"/>
      <w:szCs w:val="20"/>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next w:val="BodyText2"/>
    <w:link w:val="Char7"/>
    <w:qFormat/>
    <w:pPr>
      <w:spacing w:line="360" w:lineRule="auto"/>
    </w:pPr>
    <w:rPr>
      <w:b/>
      <w:bCs/>
      <w:sz w:val="24"/>
    </w:rPr>
  </w:style>
  <w:style w:type="paragraph" w:styleId="BodyText2">
    <w:name w:val="Body Text 2"/>
    <w:basedOn w:val="Normal"/>
    <w:link w:val="2Char1"/>
    <w:qFormat/>
    <w:pPr>
      <w:spacing w:line="360" w:lineRule="auto"/>
    </w:pPr>
    <w:rPr>
      <w:sz w:val="24"/>
    </w:rPr>
  </w:style>
  <w:style w:type="paragraph" w:styleId="NormalIndent">
    <w:name w:val="Normal Indent"/>
    <w:basedOn w:val="Normal"/>
    <w:link w:val="Char0"/>
    <w:qFormat/>
    <w:pPr>
      <w:ind w:firstLine="420"/>
    </w:pPr>
    <w:rPr>
      <w:szCs w:val="20"/>
    </w:rPr>
  </w:style>
  <w:style w:type="paragraph" w:styleId="TOC7">
    <w:name w:val="toc 7"/>
    <w:basedOn w:val="Normal"/>
    <w:next w:val="Normal"/>
    <w:semiHidden/>
    <w:qFormat/>
    <w:pPr>
      <w:ind w:left="1260"/>
      <w:jc w:val="left"/>
    </w:pPr>
    <w:rPr>
      <w:szCs w:val="21"/>
    </w:rPr>
  </w:style>
  <w:style w:type="paragraph" w:styleId="Caption">
    <w:name w:val="caption"/>
    <w:basedOn w:val="Normal"/>
    <w:next w:val="Normal"/>
    <w:qFormat/>
    <w:pPr>
      <w:widowControl/>
      <w:spacing w:line="360" w:lineRule="auto"/>
      <w:ind w:firstLine="1940" w:firstLineChars="920"/>
      <w:jc w:val="left"/>
    </w:pPr>
    <w:rPr>
      <w:rFonts w:ascii="宋体" w:hAnsi="宋体"/>
      <w:b/>
      <w:bCs/>
      <w:kern w:val="0"/>
      <w:sz w:val="20"/>
      <w:szCs w:val="20"/>
    </w:rPr>
  </w:style>
  <w:style w:type="paragraph" w:styleId="ListBullet">
    <w:name w:val="List Bullet"/>
    <w:basedOn w:val="Normal"/>
    <w:qFormat/>
    <w:pPr>
      <w:numPr>
        <w:ilvl w:val="0"/>
        <w:numId w:val="1"/>
      </w:numPr>
    </w:pPr>
    <w:rPr>
      <w:szCs w:val="20"/>
    </w:rPr>
  </w:style>
  <w:style w:type="paragraph" w:styleId="DocumentMap">
    <w:name w:val="Document Map"/>
    <w:basedOn w:val="Normal"/>
    <w:semiHidden/>
    <w:qFormat/>
    <w:pPr>
      <w:shd w:val="clear" w:color="auto" w:fill="000080"/>
    </w:pPr>
  </w:style>
  <w:style w:type="paragraph" w:styleId="CommentText">
    <w:name w:val="annotation text"/>
    <w:basedOn w:val="Normal"/>
    <w:link w:val="Char16"/>
    <w:qFormat/>
    <w:pPr>
      <w:autoSpaceDE w:val="0"/>
      <w:autoSpaceDN w:val="0"/>
      <w:adjustRightInd w:val="0"/>
      <w:jc w:val="left"/>
      <w:textAlignment w:val="baseline"/>
    </w:pPr>
    <w:rPr>
      <w:rFonts w:ascii="宋体"/>
      <w:kern w:val="0"/>
      <w:sz w:val="34"/>
      <w:szCs w:val="20"/>
    </w:rPr>
  </w:style>
  <w:style w:type="paragraph" w:styleId="BodyText3">
    <w:name w:val="Body Text 3"/>
    <w:basedOn w:val="Normal"/>
    <w:link w:val="3Char2"/>
    <w:qFormat/>
    <w:pPr>
      <w:spacing w:after="120"/>
    </w:pPr>
    <w:rPr>
      <w:sz w:val="16"/>
      <w:szCs w:val="16"/>
    </w:rPr>
  </w:style>
  <w:style w:type="paragraph" w:styleId="BodyTextIndent">
    <w:name w:val="Body Text Indent"/>
    <w:basedOn w:val="Normal"/>
    <w:link w:val="Char1"/>
    <w:qFormat/>
    <w:pPr>
      <w:spacing w:line="360" w:lineRule="auto"/>
      <w:ind w:firstLine="420" w:firstLineChars="200"/>
    </w:pPr>
  </w:style>
  <w:style w:type="paragraph" w:styleId="TOC5">
    <w:name w:val="toc 5"/>
    <w:basedOn w:val="Normal"/>
    <w:next w:val="Normal"/>
    <w:semiHidden/>
    <w:qFormat/>
    <w:pPr>
      <w:ind w:left="840"/>
      <w:jc w:val="left"/>
    </w:pPr>
    <w:rPr>
      <w:szCs w:val="21"/>
    </w:rPr>
  </w:style>
  <w:style w:type="paragraph" w:styleId="TOC3">
    <w:name w:val="toc 3"/>
    <w:basedOn w:val="Normal"/>
    <w:next w:val="Normal"/>
    <w:semiHidden/>
    <w:qFormat/>
    <w:pPr>
      <w:ind w:left="420"/>
      <w:jc w:val="left"/>
    </w:pPr>
    <w:rPr>
      <w:i/>
      <w:iCs/>
    </w:rPr>
  </w:style>
  <w:style w:type="paragraph" w:styleId="PlainText">
    <w:name w:val="Plain Text"/>
    <w:basedOn w:val="Normal"/>
    <w:link w:val="Char5"/>
    <w:qFormat/>
    <w:rPr>
      <w:rFonts w:ascii="宋体" w:hAnsi="Courier New"/>
      <w:szCs w:val="20"/>
    </w:rPr>
  </w:style>
  <w:style w:type="paragraph" w:styleId="TOC8">
    <w:name w:val="toc 8"/>
    <w:basedOn w:val="Normal"/>
    <w:next w:val="Normal"/>
    <w:semiHidden/>
    <w:qFormat/>
    <w:pPr>
      <w:ind w:left="1470"/>
      <w:jc w:val="left"/>
    </w:pPr>
    <w:rPr>
      <w:szCs w:val="21"/>
    </w:rPr>
  </w:style>
  <w:style w:type="paragraph" w:styleId="Date">
    <w:name w:val="Date"/>
    <w:basedOn w:val="Normal"/>
    <w:next w:val="Normal"/>
    <w:link w:val="Char4"/>
    <w:qFormat/>
    <w:rPr>
      <w:rFonts w:ascii="宋体" w:hAnsi="Courier New"/>
      <w:sz w:val="32"/>
      <w:szCs w:val="20"/>
    </w:rPr>
  </w:style>
  <w:style w:type="paragraph" w:styleId="BodyTextIndent2">
    <w:name w:val="Body Text Indent 2"/>
    <w:basedOn w:val="Normal"/>
    <w:link w:val="2Char0"/>
    <w:qFormat/>
    <w:pPr>
      <w:spacing w:beforeLines="50" w:afterLines="50" w:line="120" w:lineRule="auto"/>
      <w:ind w:firstLine="840" w:firstLineChars="400"/>
      <w:jc w:val="left"/>
    </w:pPr>
    <w:rPr>
      <w:rFonts w:ascii="宋体" w:hAnsi="宋体"/>
    </w:rPr>
  </w:style>
  <w:style w:type="paragraph" w:styleId="BalloonText">
    <w:name w:val="Balloon Text"/>
    <w:basedOn w:val="Normal"/>
    <w:link w:val="Char10"/>
    <w:uiPriority w:val="99"/>
    <w:semiHidden/>
    <w:qFormat/>
    <w:rPr>
      <w:sz w:val="18"/>
      <w:szCs w:val="18"/>
    </w:rPr>
  </w:style>
  <w:style w:type="paragraph" w:styleId="Footer">
    <w:name w:val="footer"/>
    <w:basedOn w:val="Normal"/>
    <w:link w:val="Char9"/>
    <w:qFormat/>
    <w:pPr>
      <w:tabs>
        <w:tab w:val="center" w:pos="4153"/>
        <w:tab w:val="right" w:pos="8306"/>
      </w:tabs>
      <w:snapToGrid w:val="0"/>
      <w:jc w:val="left"/>
    </w:pPr>
    <w:rPr>
      <w:sz w:val="18"/>
      <w:szCs w:val="18"/>
    </w:rPr>
  </w:style>
  <w:style w:type="paragraph" w:styleId="Header">
    <w:name w:val="header"/>
    <w:basedOn w:val="Normal"/>
    <w:link w:val="Char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qFormat/>
    <w:pPr>
      <w:spacing w:before="120" w:after="120"/>
      <w:jc w:val="left"/>
    </w:pPr>
    <w:rPr>
      <w:b/>
      <w:bCs/>
      <w:caps/>
    </w:rPr>
  </w:style>
  <w:style w:type="paragraph" w:styleId="TOC4">
    <w:name w:val="toc 4"/>
    <w:basedOn w:val="Normal"/>
    <w:next w:val="Normal"/>
    <w:semiHidden/>
    <w:qFormat/>
    <w:pPr>
      <w:ind w:left="630"/>
      <w:jc w:val="left"/>
    </w:pPr>
    <w:rPr>
      <w:szCs w:val="21"/>
    </w:rPr>
  </w:style>
  <w:style w:type="paragraph" w:styleId="Subtitle">
    <w:name w:val="Subtitle"/>
    <w:next w:val="Normal"/>
    <w:link w:val="Char21"/>
    <w:qFormat/>
    <w:pPr>
      <w:wordWrap w:val="0"/>
      <w:spacing w:after="60"/>
      <w:jc w:val="center"/>
    </w:pPr>
    <w:rPr>
      <w:rFonts w:ascii="Calibri" w:eastAsia="宋体" w:hAnsi="Calibri" w:cs="Times New Roman"/>
      <w:sz w:val="24"/>
      <w:lang w:val="en-US" w:eastAsia="zh-CN" w:bidi="ar-SA"/>
    </w:rPr>
  </w:style>
  <w:style w:type="paragraph" w:styleId="TOC6">
    <w:name w:val="toc 6"/>
    <w:basedOn w:val="Normal"/>
    <w:next w:val="Normal"/>
    <w:semiHidden/>
    <w:qFormat/>
    <w:pPr>
      <w:ind w:left="1050"/>
      <w:jc w:val="left"/>
    </w:pPr>
    <w:rPr>
      <w:szCs w:val="21"/>
    </w:rPr>
  </w:style>
  <w:style w:type="paragraph" w:styleId="BodyTextIndent3">
    <w:name w:val="Body Text Indent 3"/>
    <w:basedOn w:val="Normal"/>
    <w:link w:val="3Char0"/>
    <w:qFormat/>
    <w:pPr>
      <w:spacing w:line="360" w:lineRule="auto"/>
      <w:ind w:firstLine="482" w:firstLineChars="200"/>
    </w:pPr>
    <w:rPr>
      <w:rFonts w:ascii="宋体"/>
      <w:b/>
      <w:bCs/>
      <w:sz w:val="24"/>
    </w:rPr>
  </w:style>
  <w:style w:type="paragraph" w:styleId="TOC2">
    <w:name w:val="toc 2"/>
    <w:basedOn w:val="Normal"/>
    <w:next w:val="Normal"/>
    <w:semiHidden/>
    <w:qFormat/>
    <w:pPr>
      <w:tabs>
        <w:tab w:val="right" w:leader="dot" w:pos="8296"/>
      </w:tabs>
      <w:ind w:left="210"/>
      <w:jc w:val="left"/>
    </w:pPr>
    <w:rPr>
      <w:smallCaps/>
    </w:rPr>
  </w:style>
  <w:style w:type="paragraph" w:styleId="TOC9">
    <w:name w:val="toc 9"/>
    <w:basedOn w:val="Normal"/>
    <w:next w:val="Normal"/>
    <w:semiHidden/>
    <w:qFormat/>
    <w:pPr>
      <w:ind w:left="1680"/>
      <w:jc w:val="left"/>
    </w:pPr>
    <w:rPr>
      <w:szCs w:val="21"/>
    </w:rPr>
  </w:style>
  <w:style w:type="paragraph" w:styleId="HTMLPreformatted">
    <w:name w:val="HTML Preformatted"/>
    <w:basedOn w:val="Normal"/>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NormalWeb">
    <w:name w:val="Normal (Web)"/>
    <w:basedOn w:val="Normal"/>
    <w:uiPriority w:val="99"/>
    <w:qFormat/>
    <w:pPr>
      <w:spacing w:beforeAutospacing="1" w:afterAutospacing="1"/>
      <w:jc w:val="left"/>
    </w:pPr>
    <w:rPr>
      <w:kern w:val="0"/>
      <w:sz w:val="24"/>
    </w:rPr>
  </w:style>
  <w:style w:type="paragraph" w:styleId="Index1">
    <w:name w:val="index 1"/>
    <w:basedOn w:val="Normal"/>
    <w:next w:val="Normal"/>
    <w:semiHidden/>
    <w:qFormat/>
    <w:pPr>
      <w:tabs>
        <w:tab w:val="left" w:pos="3360"/>
      </w:tabs>
      <w:spacing w:line="520" w:lineRule="exact"/>
      <w:ind w:left="419" w:hanging="314" w:leftChars="50" w:hangingChars="131"/>
      <w:jc w:val="center"/>
      <w:outlineLvl w:val="3"/>
    </w:pPr>
    <w:rPr>
      <w:rFonts w:ascii="宋体" w:hAnsi="宋体"/>
      <w:sz w:val="24"/>
    </w:rPr>
  </w:style>
  <w:style w:type="paragraph" w:styleId="Title">
    <w:name w:val="Title"/>
    <w:basedOn w:val="Normal"/>
    <w:link w:val="Char3"/>
    <w:qFormat/>
    <w:pPr>
      <w:spacing w:before="240" w:after="60"/>
      <w:jc w:val="center"/>
      <w:outlineLvl w:val="0"/>
    </w:pPr>
    <w:rPr>
      <w:rFonts w:ascii="Arial" w:eastAsia="隶书" w:hAnsi="Arial" w:cs="Arial"/>
      <w:b/>
      <w:bCs/>
      <w:sz w:val="32"/>
      <w:szCs w:val="32"/>
    </w:rPr>
  </w:style>
  <w:style w:type="paragraph" w:styleId="CommentSubject">
    <w:name w:val="annotation subject"/>
    <w:basedOn w:val="CommentText"/>
    <w:next w:val="CommentText"/>
    <w:link w:val="Char17"/>
    <w:uiPriority w:val="99"/>
    <w:qFormat/>
    <w:pPr>
      <w:autoSpaceDE/>
      <w:autoSpaceDN/>
      <w:adjustRightInd/>
      <w:textAlignment w:val="auto"/>
    </w:pPr>
    <w:rPr>
      <w:rFonts w:ascii="Times New Roman"/>
      <w:b/>
      <w:bCs/>
      <w:kern w:val="2"/>
      <w:sz w:val="21"/>
      <w:szCs w:val="24"/>
    </w:rPr>
  </w:style>
  <w:style w:type="paragraph" w:styleId="BodyTextFirstIndent">
    <w:name w:val="Body Text First Indent"/>
    <w:basedOn w:val="BodyText"/>
    <w:link w:val="Char12"/>
    <w:qFormat/>
    <w:pPr>
      <w:spacing w:after="120" w:line="240" w:lineRule="auto"/>
      <w:ind w:firstLine="420" w:firstLineChars="100"/>
    </w:pPr>
    <w:rPr>
      <w:sz w:val="21"/>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widowControl w:val="0"/>
      <w:jc w:val="both"/>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Strong">
    <w:name w:val="Strong"/>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sz w:val="20"/>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qFormat/>
    <w:rPr>
      <w:sz w:val="21"/>
      <w:szCs w:val="21"/>
    </w:rPr>
  </w:style>
  <w:style w:type="character" w:customStyle="1" w:styleId="4Char">
    <w:name w:val="标题 4 Char"/>
    <w:link w:val="Heading4"/>
    <w:uiPriority w:val="9"/>
    <w:qFormat/>
    <w:rPr>
      <w:rFonts w:ascii="Arial" w:eastAsia="黑体" w:hAnsi="Arial"/>
      <w:b/>
      <w:bCs/>
      <w:kern w:val="2"/>
      <w:sz w:val="28"/>
      <w:szCs w:val="28"/>
      <w:lang w:val="en-US" w:eastAsia="zh-CN" w:bidi="ar-SA"/>
    </w:rPr>
  </w:style>
  <w:style w:type="paragraph" w:customStyle="1" w:styleId="Char">
    <w:name w:val="Char"/>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Heading3"/>
    <w:uiPriority w:val="9"/>
    <w:qFormat/>
    <w:rPr>
      <w:rFonts w:ascii="宋体" w:eastAsia="宋体" w:hAnsi="宋体"/>
      <w:b/>
      <w:bCs/>
      <w:kern w:val="2"/>
      <w:sz w:val="28"/>
      <w:szCs w:val="32"/>
      <w:lang w:val="en-US" w:eastAsia="zh-CN" w:bidi="ar-SA"/>
    </w:rPr>
  </w:style>
  <w:style w:type="character" w:customStyle="1" w:styleId="1Char">
    <w:name w:val="标题 1 Char"/>
    <w:link w:val="Heading1"/>
    <w:qFormat/>
    <w:rPr>
      <w:rFonts w:ascii="宋体" w:eastAsia="黑体" w:hAnsi="宋体"/>
      <w:b/>
      <w:bCs/>
      <w:kern w:val="44"/>
      <w:sz w:val="28"/>
      <w:szCs w:val="44"/>
      <w:lang w:val="en-US" w:eastAsia="zh-CN" w:bidi="ar-SA"/>
    </w:rPr>
  </w:style>
  <w:style w:type="character" w:customStyle="1" w:styleId="Char0">
    <w:name w:val="正文缩进 Char"/>
    <w:link w:val="NormalIndent"/>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Normal"/>
    <w:qFormat/>
    <w:pPr>
      <w:numPr>
        <w:ilvl w:val="0"/>
        <w:numId w:val="2"/>
      </w:numPr>
      <w:tabs>
        <w:tab w:val="left" w:pos="945"/>
      </w:tabs>
      <w:spacing w:line="360" w:lineRule="auto"/>
    </w:pPr>
    <w:rPr>
      <w:b/>
      <w:color w:val="000000"/>
      <w:sz w:val="24"/>
      <w:szCs w:val="20"/>
    </w:rPr>
  </w:style>
  <w:style w:type="paragraph" w:customStyle="1" w:styleId="a">
    <w:name w:val="图"/>
    <w:basedOn w:val="Normal"/>
    <w:qFormat/>
    <w:pPr>
      <w:keepNext/>
      <w:adjustRightInd w:val="0"/>
      <w:snapToGrid w:val="0"/>
      <w:spacing w:before="60" w:after="60" w:line="300" w:lineRule="auto"/>
      <w:jc w:val="center"/>
    </w:pPr>
    <w:rPr>
      <w:spacing w:val="20"/>
      <w:kern w:val="0"/>
      <w:sz w:val="24"/>
      <w:szCs w:val="20"/>
    </w:rPr>
  </w:style>
  <w:style w:type="paragraph" w:customStyle="1" w:styleId="a0">
    <w:name w:val="文档正文"/>
    <w:basedOn w:val="Normal"/>
    <w:qFormat/>
    <w:pPr>
      <w:adjustRightInd w:val="0"/>
      <w:spacing w:line="480" w:lineRule="atLeast"/>
      <w:ind w:firstLine="567" w:firstLineChars="200"/>
      <w:textAlignment w:val="baseline"/>
    </w:pPr>
    <w:rPr>
      <w:rFonts w:ascii="长城仿宋"/>
      <w:kern w:val="0"/>
      <w:szCs w:val="20"/>
    </w:rPr>
  </w:style>
  <w:style w:type="paragraph" w:customStyle="1" w:styleId="CharCharCharChar">
    <w:name w:val="Char Char Char Char"/>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Normal"/>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Normal"/>
    <w:qFormat/>
    <w:pPr>
      <w:suppressAutoHyphens/>
      <w:autoSpaceDE w:val="0"/>
      <w:spacing w:after="120"/>
      <w:jc w:val="left"/>
    </w:pPr>
    <w:rPr>
      <w:rFonts w:ascii="Helvetica" w:hAnsi="Helvetica"/>
      <w:kern w:val="1"/>
      <w:sz w:val="20"/>
      <w:szCs w:val="20"/>
    </w:rPr>
  </w:style>
  <w:style w:type="paragraph" w:customStyle="1" w:styleId="a1">
    <w:name w:val="自定义正文"/>
    <w:basedOn w:val="Normal"/>
    <w:qFormat/>
    <w:pPr>
      <w:spacing w:afterLines="50"/>
      <w:ind w:left="600" w:leftChars="600"/>
    </w:pPr>
  </w:style>
  <w:style w:type="paragraph" w:customStyle="1" w:styleId="CharCharCharCharChar">
    <w:name w:val="Char Char Char Char Char"/>
    <w:basedOn w:val="Normal"/>
    <w:qFormat/>
    <w:rPr>
      <w:rFonts w:ascii="Tahoma" w:hAnsi="Tahoma"/>
      <w:sz w:val="24"/>
      <w:szCs w:val="20"/>
    </w:rPr>
  </w:style>
  <w:style w:type="paragraph" w:customStyle="1" w:styleId="1">
    <w:name w:val="小标题 1"/>
    <w:basedOn w:val="Normal"/>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Normal"/>
    <w:qFormat/>
    <w:rPr>
      <w:rFonts w:ascii="Tahoma" w:hAnsi="Tahoma"/>
      <w:sz w:val="24"/>
      <w:szCs w:val="20"/>
    </w:rPr>
  </w:style>
  <w:style w:type="paragraph" w:customStyle="1" w:styleId="a2">
    <w:name w:val="È±Ê¡ÎÄ±¾"/>
    <w:basedOn w:val="Normal"/>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Heading2"/>
    <w:qFormat/>
    <w:rPr>
      <w:rFonts w:ascii="宋体" w:eastAsia="宋体" w:hAnsi="宋体"/>
      <w:b/>
      <w:bCs/>
      <w:sz w:val="24"/>
      <w:lang w:val="en-US" w:eastAsia="zh-CN" w:bidi="ar-SA"/>
    </w:rPr>
  </w:style>
  <w:style w:type="paragraph" w:customStyle="1" w:styleId="CharCharCharCharCharChar1Char">
    <w:name w:val="Char Char Char Char Char Char1 Char"/>
    <w:basedOn w:val="Normal"/>
    <w:qFormat/>
    <w:pPr>
      <w:widowControl/>
      <w:spacing w:after="160" w:line="240" w:lineRule="exact"/>
      <w:jc w:val="left"/>
    </w:pPr>
    <w:rPr>
      <w:rFonts w:ascii="Verdana" w:hAnsi="Verdana"/>
      <w:kern w:val="0"/>
      <w:szCs w:val="20"/>
      <w:lang w:eastAsia="en-US"/>
    </w:rPr>
  </w:style>
  <w:style w:type="paragraph" w:styleId="ListParagraph">
    <w:name w:val="List Paragraph"/>
    <w:basedOn w:val="Normal"/>
    <w:qFormat/>
    <w:pPr>
      <w:ind w:firstLine="420" w:firstLineChars="200"/>
    </w:pPr>
    <w:rPr>
      <w:rFonts w:ascii="Calibri" w:hAnsi="Calibri"/>
      <w:szCs w:val="22"/>
    </w:rPr>
  </w:style>
  <w:style w:type="paragraph" w:customStyle="1" w:styleId="USE1">
    <w:name w:val="USE 1"/>
    <w:basedOn w:val="Normal"/>
    <w:qFormat/>
    <w:pPr>
      <w:spacing w:line="200" w:lineRule="atLeast"/>
      <w:jc w:val="left"/>
    </w:pPr>
    <w:rPr>
      <w:rFonts w:ascii="宋体" w:hAnsi="宋体"/>
      <w:b/>
      <w:sz w:val="24"/>
      <w:szCs w:val="28"/>
    </w:rPr>
  </w:style>
  <w:style w:type="paragraph" w:customStyle="1" w:styleId="RFItextfrom3rdLevel">
    <w:name w:val="RFI text from 3rd Level"/>
    <w:basedOn w:val="Normal"/>
    <w:qFormat/>
    <w:pPr>
      <w:widowControl/>
      <w:numPr>
        <w:ilvl w:val="0"/>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3">
    <w:name w:val="正文文字缩进项目"/>
    <w:basedOn w:val="BodyTextIndent"/>
    <w:qFormat/>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21313">
    <w:name w:val="样式 标题 2 + 段前: 13 磅 段后: 13 磅 行距: 单倍行距"/>
    <w:basedOn w:val="Heading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1">
    <w:name w:val="正文文本缩进 Char"/>
    <w:link w:val="BodyTextIndent"/>
    <w:qFormat/>
    <w:rPr>
      <w:rFonts w:eastAsia="宋体"/>
      <w:kern w:val="2"/>
      <w:sz w:val="21"/>
      <w:szCs w:val="24"/>
      <w:lang w:val="en-US" w:eastAsia="zh-CN" w:bidi="ar-SA"/>
    </w:rPr>
  </w:style>
  <w:style w:type="character" w:customStyle="1" w:styleId="5Char">
    <w:name w:val="标题 5 Char"/>
    <w:link w:val="Heading5"/>
    <w:qFormat/>
    <w:rPr>
      <w:rFonts w:eastAsia="宋体"/>
      <w:b/>
      <w:kern w:val="2"/>
      <w:sz w:val="28"/>
      <w:lang w:val="en-US" w:eastAsia="zh-CN" w:bidi="ar-SA"/>
    </w:rPr>
  </w:style>
  <w:style w:type="character" w:customStyle="1" w:styleId="Char2">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Heading6"/>
    <w:qFormat/>
    <w:rPr>
      <w:rFonts w:ascii="Arial" w:eastAsia="黑体" w:hAnsi="Arial"/>
      <w:b/>
      <w:kern w:val="2"/>
      <w:sz w:val="24"/>
      <w:lang w:val="en-US" w:eastAsia="zh-CN" w:bidi="ar-SA"/>
    </w:rPr>
  </w:style>
  <w:style w:type="character" w:customStyle="1" w:styleId="7Char">
    <w:name w:val="标题 7 Char"/>
    <w:link w:val="Heading7"/>
    <w:qFormat/>
    <w:rPr>
      <w:rFonts w:eastAsia="宋体"/>
      <w:b/>
      <w:kern w:val="2"/>
      <w:sz w:val="24"/>
      <w:lang w:val="en-US" w:eastAsia="zh-CN" w:bidi="ar-SA"/>
    </w:rPr>
  </w:style>
  <w:style w:type="character" w:customStyle="1" w:styleId="8Char">
    <w:name w:val="标题 8 Char"/>
    <w:link w:val="Heading8"/>
    <w:qFormat/>
    <w:rPr>
      <w:rFonts w:ascii="Arial" w:eastAsia="黑体" w:hAnsi="Arial"/>
      <w:kern w:val="2"/>
      <w:sz w:val="24"/>
      <w:lang w:val="en-US" w:eastAsia="zh-CN" w:bidi="ar-SA"/>
    </w:rPr>
  </w:style>
  <w:style w:type="character" w:customStyle="1" w:styleId="9Char">
    <w:name w:val="标题 9 Char"/>
    <w:link w:val="Heading9"/>
    <w:qFormat/>
    <w:rPr>
      <w:rFonts w:ascii="Arial" w:eastAsia="黑体" w:hAnsi="Arial"/>
      <w:kern w:val="2"/>
      <w:sz w:val="21"/>
      <w:lang w:val="en-US" w:eastAsia="zh-CN" w:bidi="ar-SA"/>
    </w:rPr>
  </w:style>
  <w:style w:type="character" w:customStyle="1" w:styleId="Char3">
    <w:name w:val="标题 Char"/>
    <w:link w:val="Title"/>
    <w:qFormat/>
    <w:rPr>
      <w:rFonts w:ascii="Arial" w:eastAsia="隶书" w:hAnsi="Arial" w:cs="Arial"/>
      <w:b/>
      <w:bCs/>
      <w:kern w:val="2"/>
      <w:sz w:val="32"/>
      <w:szCs w:val="32"/>
      <w:lang w:val="en-US" w:eastAsia="zh-CN" w:bidi="ar-SA"/>
    </w:rPr>
  </w:style>
  <w:style w:type="character" w:customStyle="1" w:styleId="Char4">
    <w:name w:val="日期 Char"/>
    <w:link w:val="Date"/>
    <w:qFormat/>
    <w:rPr>
      <w:rFonts w:ascii="宋体" w:eastAsia="宋体" w:hAnsi="Courier New"/>
      <w:kern w:val="2"/>
      <w:sz w:val="32"/>
      <w:lang w:val="en-US" w:eastAsia="zh-CN" w:bidi="ar-SA"/>
    </w:rPr>
  </w:style>
  <w:style w:type="character" w:customStyle="1" w:styleId="HTMLChar">
    <w:name w:val="HTML 预设格式 Char"/>
    <w:link w:val="HTMLPreformatted"/>
    <w:qFormat/>
    <w:rPr>
      <w:rFonts w:ascii="Arial Unicode MS" w:eastAsia="Arial Unicode MS" w:hAnsi="Arial Unicode MS"/>
      <w:color w:val="000000"/>
      <w:lang w:val="en-US" w:eastAsia="zh-CN" w:bidi="ar-SA"/>
    </w:rPr>
  </w:style>
  <w:style w:type="character" w:customStyle="1" w:styleId="Char5">
    <w:name w:val="纯文本 Char"/>
    <w:link w:val="PlainText"/>
    <w:qFormat/>
    <w:rPr>
      <w:rFonts w:ascii="宋体" w:eastAsia="宋体" w:hAnsi="Courier New"/>
      <w:kern w:val="2"/>
      <w:sz w:val="21"/>
      <w:lang w:val="en-US" w:eastAsia="zh-CN" w:bidi="ar-SA"/>
    </w:rPr>
  </w:style>
  <w:style w:type="character" w:customStyle="1" w:styleId="Char6">
    <w:name w:val="正文文字首行缩进 Char"/>
    <w:qFormat/>
    <w:rPr>
      <w:kern w:val="2"/>
      <w:sz w:val="21"/>
      <w:szCs w:val="24"/>
    </w:rPr>
  </w:style>
  <w:style w:type="character" w:customStyle="1" w:styleId="Char7">
    <w:name w:val="正文文本 Char"/>
    <w:link w:val="BodyText"/>
    <w:qFormat/>
    <w:rPr>
      <w:rFonts w:eastAsia="宋体"/>
      <w:b/>
      <w:bCs/>
      <w:kern w:val="2"/>
      <w:sz w:val="24"/>
      <w:szCs w:val="24"/>
      <w:lang w:val="en-US" w:eastAsia="zh-CN" w:bidi="ar-SA"/>
    </w:rPr>
  </w:style>
  <w:style w:type="character" w:customStyle="1" w:styleId="2Char0">
    <w:name w:val="正文文本缩进 2 Char"/>
    <w:link w:val="BodyTextIndent2"/>
    <w:qFormat/>
    <w:rPr>
      <w:rFonts w:ascii="宋体" w:eastAsia="宋体" w:hAnsi="宋体"/>
      <w:kern w:val="2"/>
      <w:sz w:val="21"/>
      <w:szCs w:val="24"/>
      <w:lang w:val="en-US" w:eastAsia="zh-CN" w:bidi="ar-SA"/>
    </w:rPr>
  </w:style>
  <w:style w:type="character" w:customStyle="1" w:styleId="Char8">
    <w:name w:val="页眉 Char"/>
    <w:link w:val="Header"/>
    <w:uiPriority w:val="99"/>
    <w:qFormat/>
    <w:rPr>
      <w:rFonts w:eastAsia="宋体"/>
      <w:kern w:val="2"/>
      <w:sz w:val="18"/>
      <w:szCs w:val="18"/>
      <w:lang w:val="en-US" w:eastAsia="zh-CN" w:bidi="ar-SA"/>
    </w:rPr>
  </w:style>
  <w:style w:type="character" w:customStyle="1" w:styleId="3Char0">
    <w:name w:val="正文文本缩进 3 Char"/>
    <w:link w:val="BodyTextIndent3"/>
    <w:qFormat/>
    <w:rPr>
      <w:rFonts w:ascii="宋体" w:eastAsia="宋体"/>
      <w:b/>
      <w:bCs/>
      <w:kern w:val="2"/>
      <w:sz w:val="24"/>
      <w:szCs w:val="24"/>
      <w:lang w:val="en-US" w:eastAsia="zh-CN" w:bidi="ar-SA"/>
    </w:rPr>
  </w:style>
  <w:style w:type="character" w:customStyle="1" w:styleId="2Char1">
    <w:name w:val="正文文本 2 Char"/>
    <w:link w:val="BodyText2"/>
    <w:qFormat/>
    <w:rPr>
      <w:rFonts w:eastAsia="宋体"/>
      <w:kern w:val="2"/>
      <w:sz w:val="24"/>
      <w:szCs w:val="24"/>
      <w:lang w:val="en-US" w:eastAsia="zh-CN" w:bidi="ar-SA"/>
    </w:rPr>
  </w:style>
  <w:style w:type="character" w:customStyle="1" w:styleId="Char9">
    <w:name w:val="页脚 Char"/>
    <w:link w:val="Footer"/>
    <w:qFormat/>
    <w:rPr>
      <w:rFonts w:eastAsia="宋体"/>
      <w:kern w:val="2"/>
      <w:sz w:val="18"/>
      <w:szCs w:val="18"/>
      <w:lang w:val="en-US" w:eastAsia="zh-CN" w:bidi="ar-SA"/>
    </w:rPr>
  </w:style>
  <w:style w:type="character" w:customStyle="1" w:styleId="3Char2">
    <w:name w:val="正文文本 3 Char"/>
    <w:link w:val="BodyText3"/>
    <w:qFormat/>
    <w:rPr>
      <w:rFonts w:eastAsia="宋体"/>
      <w:kern w:val="2"/>
      <w:sz w:val="16"/>
      <w:szCs w:val="16"/>
      <w:lang w:val="en-US" w:eastAsia="zh-CN" w:bidi="ar-SA"/>
    </w:rPr>
  </w:style>
  <w:style w:type="character" w:customStyle="1" w:styleId="Char10">
    <w:name w:val="批注框文本 Char"/>
    <w:link w:val="BalloonText"/>
    <w:uiPriority w:val="99"/>
    <w:semiHidden/>
    <w:qFormat/>
    <w:rPr>
      <w:rFonts w:eastAsia="宋体"/>
      <w:kern w:val="2"/>
      <w:sz w:val="18"/>
      <w:szCs w:val="18"/>
      <w:lang w:val="en-US" w:eastAsia="zh-CN" w:bidi="ar-SA"/>
    </w:rPr>
  </w:style>
  <w:style w:type="paragraph" w:customStyle="1" w:styleId="10">
    <w:name w:val="样式1"/>
    <w:basedOn w:val="Title"/>
    <w:qFormat/>
    <w:pPr>
      <w:spacing w:before="120" w:after="120"/>
    </w:pPr>
    <w:rPr>
      <w:rFonts w:eastAsia="黑体"/>
      <w:b w:val="0"/>
      <w:sz w:val="30"/>
      <w:szCs w:val="21"/>
    </w:rPr>
  </w:style>
  <w:style w:type="paragraph" w:customStyle="1" w:styleId="2">
    <w:name w:val="样式2"/>
    <w:basedOn w:val="Title"/>
    <w:next w:val="10"/>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Normal"/>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Normal"/>
    <w:qFormat/>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
    <w:name w:val="--规划正文"/>
    <w:basedOn w:val="Normal"/>
    <w:qFormat/>
    <w:pPr>
      <w:spacing w:line="360" w:lineRule="auto"/>
      <w:ind w:firstLine="200" w:firstLineChars="200"/>
    </w:pPr>
    <w:rPr>
      <w:szCs w:val="20"/>
    </w:rPr>
  </w:style>
  <w:style w:type="paragraph" w:customStyle="1" w:styleId="a4">
    <w:name w:val="设计依据"/>
    <w:basedOn w:val="BodyText"/>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5">
    <w:name w:val="方案要点"/>
    <w:basedOn w:val="Normal"/>
    <w:qFormat/>
    <w:pPr>
      <w:numPr>
        <w:ilvl w:val="0"/>
        <w:numId w:val="4"/>
      </w:numPr>
      <w:spacing w:line="360" w:lineRule="auto"/>
    </w:pPr>
    <w:rPr>
      <w:rFonts w:ascii="仿宋_GB2312" w:eastAsia="仿宋_GB2312" w:hAnsi="宋体"/>
      <w:color w:val="000000"/>
      <w:sz w:val="28"/>
      <w:szCs w:val="28"/>
    </w:rPr>
  </w:style>
  <w:style w:type="paragraph" w:customStyle="1" w:styleId="4">
    <w:name w:val="样式4"/>
    <w:basedOn w:val="Normal"/>
    <w:qFormat/>
    <w:pPr>
      <w:tabs>
        <w:tab w:val="left" w:pos="842"/>
      </w:tabs>
      <w:spacing w:line="360" w:lineRule="auto"/>
      <w:ind w:left="842" w:hanging="420"/>
    </w:pPr>
    <w:rPr>
      <w:sz w:val="24"/>
    </w:rPr>
  </w:style>
  <w:style w:type="paragraph" w:customStyle="1" w:styleId="a6">
    <w:name w:val="文字"/>
    <w:basedOn w:val="Normal"/>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0" w:firstLineChars="0"/>
    </w:pPr>
    <w:rPr>
      <w:sz w:val="20"/>
    </w:rPr>
  </w:style>
  <w:style w:type="paragraph" w:customStyle="1" w:styleId="----0">
    <w:name w:val="--规划-表格-居中"/>
    <w:basedOn w:val="--"/>
    <w:qFormat/>
    <w:pPr>
      <w:spacing w:line="240" w:lineRule="auto"/>
      <w:ind w:firstLine="0" w:firstLineChars="0"/>
      <w:jc w:val="center"/>
    </w:pPr>
    <w:rPr>
      <w:sz w:val="20"/>
    </w:rPr>
  </w:style>
  <w:style w:type="paragraph" w:customStyle="1" w:styleId="--0">
    <w:name w:val="--编号内缩进"/>
    <w:basedOn w:val="Normal"/>
    <w:qFormat/>
    <w:pPr>
      <w:spacing w:line="360" w:lineRule="auto"/>
      <w:ind w:left="420" w:firstLine="200" w:firstLineChars="200"/>
    </w:pPr>
    <w:rPr>
      <w:szCs w:val="21"/>
    </w:rPr>
  </w:style>
  <w:style w:type="paragraph" w:customStyle="1" w:styleId="---">
    <w:name w:val="--规划-题注"/>
    <w:basedOn w:val="Normal"/>
    <w:next w:val="--"/>
    <w:qFormat/>
    <w:pPr>
      <w:spacing w:line="360" w:lineRule="auto"/>
      <w:jc w:val="center"/>
    </w:pPr>
    <w:rPr>
      <w:rFonts w:eastAsia="黑体"/>
    </w:rPr>
  </w:style>
  <w:style w:type="paragraph" w:customStyle="1" w:styleId="---0">
    <w:name w:val="--规划-图和表"/>
    <w:next w:val="--"/>
    <w:qFormat/>
    <w:pPr>
      <w:jc w:val="center"/>
    </w:pPr>
    <w:rPr>
      <w:rFonts w:ascii="Times New Roman" w:eastAsia="宋体" w:hAnsi="Times New Roman" w:cs="Times New Roman"/>
      <w:kern w:val="2"/>
      <w:sz w:val="21"/>
      <w:lang w:val="en-US" w:eastAsia="zh-CN" w:bidi="ar-SA"/>
    </w:rPr>
  </w:style>
  <w:style w:type="paragraph" w:customStyle="1" w:styleId="---1">
    <w:name w:val="--规划-小标题"/>
    <w:basedOn w:val="Normal"/>
    <w:next w:val="--"/>
    <w:qFormat/>
    <w:pPr>
      <w:keepNext/>
      <w:keepLines/>
      <w:spacing w:line="360" w:lineRule="auto"/>
      <w:outlineLvl w:val="4"/>
    </w:pPr>
    <w:rPr>
      <w:rFonts w:eastAsia="黑体"/>
    </w:rPr>
  </w:style>
  <w:style w:type="paragraph" w:customStyle="1" w:styleId="--Char">
    <w:name w:val="--规划正文 Char"/>
    <w:basedOn w:val="Normal"/>
    <w:qFormat/>
    <w:pPr>
      <w:spacing w:line="360" w:lineRule="auto"/>
      <w:ind w:firstLine="200" w:firstLineChars="200"/>
    </w:pPr>
    <w:rPr>
      <w:sz w:val="24"/>
    </w:rPr>
  </w:style>
  <w:style w:type="paragraph" w:customStyle="1" w:styleId="a7">
    <w:name w:val="缺省文本"/>
    <w:basedOn w:val="Normal"/>
    <w:qFormat/>
    <w:pPr>
      <w:autoSpaceDE w:val="0"/>
      <w:autoSpaceDN w:val="0"/>
      <w:adjustRightInd w:val="0"/>
      <w:jc w:val="left"/>
    </w:pPr>
    <w:rPr>
      <w:kern w:val="0"/>
    </w:rPr>
  </w:style>
  <w:style w:type="paragraph" w:customStyle="1" w:styleId="a8">
    <w:name w:val="封面文档标题"/>
    <w:basedOn w:val="Normal"/>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Heading1"/>
    <w:qFormat/>
    <w:pPr>
      <w:numPr>
        <w:ilvl w:val="0"/>
        <w:numId w:val="5"/>
      </w:numPr>
      <w:spacing w:before="240" w:after="240" w:line="480" w:lineRule="auto"/>
      <w:ind w:right="210" w:rightChars="10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Normal"/>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9">
    <w:name w:val="列表项目"/>
    <w:basedOn w:val="Normal"/>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DefaultParagraphFont"/>
    <w:qFormat/>
  </w:style>
  <w:style w:type="character" w:customStyle="1" w:styleId="font2">
    <w:name w:val="font2"/>
    <w:basedOn w:val="DefaultParagraphFont"/>
    <w:qFormat/>
  </w:style>
  <w:style w:type="character" w:customStyle="1" w:styleId="font41">
    <w:name w:val="font41"/>
    <w:qFormat/>
    <w:rPr>
      <w:color w:val="000000"/>
      <w:spacing w:val="260"/>
      <w:sz w:val="18"/>
      <w:szCs w:val="18"/>
      <w:u w:val="none"/>
    </w:rPr>
  </w:style>
  <w:style w:type="paragraph" w:customStyle="1" w:styleId="a10">
    <w:name w:val="正文(首行缩进)"/>
    <w:qFormat/>
    <w:pPr>
      <w:spacing w:line="360" w:lineRule="auto"/>
      <w:ind w:firstLine="488" w:firstLineChars="200"/>
      <w:jc w:val="both"/>
    </w:pPr>
    <w:rPr>
      <w:rFonts w:ascii="Times New Roman" w:eastAsia="仿宋_GB2312" w:hAnsi="Times New Roman" w:cs="Times New Roman"/>
      <w:spacing w:val="2"/>
      <w:sz w:val="24"/>
      <w:szCs w:val="24"/>
      <w:lang w:val="en-US" w:eastAsia="zh-CN" w:bidi="ar-SA"/>
    </w:rPr>
  </w:style>
  <w:style w:type="paragraph" w:customStyle="1" w:styleId="xl72">
    <w:name w:val="xl72"/>
    <w:basedOn w:val="Normal"/>
    <w:qFormat/>
    <w:pPr>
      <w:widowControl/>
      <w:spacing w:before="100" w:beforeAutospacing="1" w:after="100" w:afterAutospacing="1"/>
      <w:jc w:val="left"/>
    </w:pPr>
    <w:rPr>
      <w:rFonts w:ascii="宋体" w:hAnsi="宋体"/>
      <w:b/>
      <w:bCs/>
      <w:kern w:val="0"/>
      <w:sz w:val="28"/>
      <w:szCs w:val="28"/>
    </w:rPr>
  </w:style>
  <w:style w:type="character" w:customStyle="1" w:styleId="Char12">
    <w:name w:val="正文首行缩进 Char"/>
    <w:link w:val="BodyTextFirstIndent"/>
    <w:qFormat/>
    <w:rPr>
      <w:rFonts w:eastAsia="宋体"/>
      <w:b/>
      <w:bCs/>
      <w:kern w:val="2"/>
      <w:sz w:val="21"/>
      <w:szCs w:val="24"/>
      <w:lang w:val="en-US" w:eastAsia="zh-CN" w:bidi="ar-SA"/>
    </w:rPr>
  </w:style>
  <w:style w:type="paragraph" w:customStyle="1" w:styleId="Char13">
    <w:name w:val="正文(首行缩进) Char"/>
    <w:qFormat/>
    <w:pPr>
      <w:spacing w:before="120" w:after="60" w:line="360" w:lineRule="auto"/>
      <w:ind w:firstLine="200" w:firstLineChars="200"/>
    </w:pPr>
    <w:rPr>
      <w:rFonts w:ascii="Times New Roman" w:eastAsia="仿宋_GB2312" w:hAnsi="Times New Roman" w:cs="Times New Roman"/>
      <w:spacing w:val="2"/>
      <w:kern w:val="24"/>
      <w:sz w:val="24"/>
      <w:szCs w:val="24"/>
      <w:lang w:val="en-US" w:eastAsia="zh-CN" w:bidi="ar-SA"/>
    </w:rPr>
  </w:style>
  <w:style w:type="paragraph" w:customStyle="1" w:styleId="8">
    <w:name w:val="汉议细等线简8"/>
    <w:qFormat/>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lang w:val="en-US" w:eastAsia="zh-CN" w:bidi="ar-SA"/>
    </w:rPr>
  </w:style>
  <w:style w:type="paragraph" w:customStyle="1" w:styleId="9BOLD">
    <w:name w:val="汉仪细等线简9BOLD"/>
    <w:basedOn w:val="Normal"/>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DefaultParagraphFont"/>
    <w:qFormat/>
  </w:style>
  <w:style w:type="paragraph" w:customStyle="1" w:styleId="9">
    <w:name w:val="9"/>
    <w:basedOn w:val="Normal"/>
    <w:next w:val="NormalIndent"/>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DefaultParagraphFont"/>
    <w:qFormat/>
  </w:style>
  <w:style w:type="paragraph" w:customStyle="1" w:styleId="80">
    <w:name w:val="8"/>
    <w:basedOn w:val="Normal"/>
    <w:next w:val="BodyTextIndent"/>
    <w:qFormat/>
    <w:pPr>
      <w:spacing w:after="120"/>
      <w:ind w:left="420" w:leftChars="200"/>
    </w:pPr>
  </w:style>
  <w:style w:type="paragraph" w:customStyle="1" w:styleId="7">
    <w:name w:val="7"/>
    <w:basedOn w:val="Normal"/>
    <w:qFormat/>
    <w:pPr>
      <w:autoSpaceDE w:val="0"/>
      <w:autoSpaceDN w:val="0"/>
      <w:adjustRightInd w:val="0"/>
      <w:spacing w:line="270" w:lineRule="atLeast"/>
      <w:jc w:val="left"/>
    </w:pPr>
    <w:rPr>
      <w:rFonts w:ascii="宋体"/>
      <w:kern w:val="0"/>
      <w:sz w:val="18"/>
      <w:szCs w:val="18"/>
    </w:rPr>
  </w:style>
  <w:style w:type="paragraph" w:customStyle="1" w:styleId="00">
    <w:name w:val="00"/>
    <w:basedOn w:val="Normal"/>
    <w:qFormat/>
    <w:pPr>
      <w:autoSpaceDE w:val="0"/>
      <w:autoSpaceDN w:val="0"/>
      <w:adjustRightInd w:val="0"/>
      <w:jc w:val="left"/>
    </w:pPr>
    <w:rPr>
      <w:rFonts w:ascii="黑体" w:eastAsia="黑体"/>
      <w:b/>
      <w:bCs/>
      <w:kern w:val="0"/>
      <w:sz w:val="20"/>
      <w:szCs w:val="20"/>
    </w:rPr>
  </w:style>
  <w:style w:type="paragraph" w:customStyle="1" w:styleId="5">
    <w:name w:val="5"/>
    <w:basedOn w:val="Normal"/>
    <w:qFormat/>
    <w:pPr>
      <w:autoSpaceDE w:val="0"/>
      <w:autoSpaceDN w:val="0"/>
      <w:adjustRightInd w:val="0"/>
      <w:jc w:val="left"/>
    </w:pPr>
    <w:rPr>
      <w:rFonts w:ascii="宋体"/>
      <w:b/>
      <w:bCs/>
      <w:kern w:val="0"/>
      <w:sz w:val="18"/>
      <w:szCs w:val="18"/>
    </w:rPr>
  </w:style>
  <w:style w:type="paragraph" w:customStyle="1" w:styleId="6">
    <w:name w:val="6"/>
    <w:basedOn w:val="5"/>
    <w:qFormat/>
    <w:pPr>
      <w:spacing w:line="270" w:lineRule="atLeast"/>
      <w:jc w:val="both"/>
    </w:pPr>
    <w:rPr>
      <w:b w:val="0"/>
      <w:bCs w:val="0"/>
    </w:rPr>
  </w:style>
  <w:style w:type="paragraph" w:customStyle="1" w:styleId="a11">
    <w:name w:val="产品描述"/>
    <w:qFormat/>
    <w:pPr>
      <w:widowControl w:val="0"/>
      <w:autoSpaceDE w:val="0"/>
      <w:autoSpaceDN w:val="0"/>
      <w:adjustRightInd w:val="0"/>
      <w:spacing w:line="270" w:lineRule="atLeast"/>
      <w:ind w:firstLine="397"/>
      <w:jc w:val="both"/>
    </w:pPr>
    <w:rPr>
      <w:rFonts w:ascii="宋体" w:eastAsia="宋体" w:hAnsi="Times New Roman" w:cs="Times New Roman"/>
      <w:sz w:val="18"/>
      <w:szCs w:val="18"/>
      <w:lang w:val="en-US" w:eastAsia="zh-CN" w:bidi="ar-SA"/>
    </w:rPr>
  </w:style>
  <w:style w:type="paragraph" w:customStyle="1" w:styleId="a12">
    <w:name w:val="姜文清定义的正文"/>
    <w:basedOn w:val="Normal"/>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hAnsi="Times New Roman" w:cs="H Yb 2gj"/>
      <w:color w:val="000000"/>
      <w:sz w:val="24"/>
      <w:szCs w:val="24"/>
      <w:lang w:val="en-US" w:eastAsia="zh-CN" w:bidi="ar-SA"/>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Normal"/>
    <w:qFormat/>
    <w:pPr>
      <w:widowControl/>
      <w:spacing w:before="120" w:line="360" w:lineRule="auto"/>
      <w:ind w:firstLine="425"/>
    </w:pPr>
    <w:rPr>
      <w:kern w:val="0"/>
      <w:sz w:val="24"/>
    </w:rPr>
  </w:style>
  <w:style w:type="character" w:customStyle="1" w:styleId="blue">
    <w:name w:val="blue"/>
    <w:basedOn w:val="DefaultParagraphFont"/>
    <w:qFormat/>
  </w:style>
  <w:style w:type="paragraph" w:customStyle="1" w:styleId="blue1">
    <w:name w:val="blue1"/>
    <w:basedOn w:val="Normal"/>
    <w:qFormat/>
    <w:pPr>
      <w:widowControl/>
      <w:spacing w:before="100" w:beforeAutospacing="1" w:after="100" w:afterAutospacing="1"/>
      <w:jc w:val="left"/>
    </w:pPr>
    <w:rPr>
      <w:rFonts w:ascii="宋体" w:hAnsi="宋体" w:cs="宋体"/>
      <w:kern w:val="0"/>
      <w:sz w:val="24"/>
    </w:rPr>
  </w:style>
  <w:style w:type="character" w:customStyle="1" w:styleId="font">
    <w:name w:val="font"/>
    <w:basedOn w:val="DefaultParagraphFont"/>
    <w:qFormat/>
  </w:style>
  <w:style w:type="character" w:customStyle="1" w:styleId="font11">
    <w:name w:val="font11"/>
    <w:qFormat/>
    <w:rPr>
      <w:rFonts w:ascii="ˎ̥" w:hAnsi="ˎ̥" w:hint="default"/>
    </w:rPr>
  </w:style>
  <w:style w:type="paragraph" w:customStyle="1" w:styleId="a14">
    <w:name w:val="a14"/>
    <w:basedOn w:val="Normal"/>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DefaultParagraphFont"/>
    <w:qFormat/>
  </w:style>
  <w:style w:type="character" w:customStyle="1" w:styleId="prodheadlines">
    <w:name w:val="prodheadlines"/>
    <w:basedOn w:val="DefaultParagraphFont"/>
    <w:qFormat/>
  </w:style>
  <w:style w:type="character" w:customStyle="1" w:styleId="text">
    <w:name w:val="text"/>
    <w:basedOn w:val="DefaultParagraphFont"/>
    <w:qFormat/>
  </w:style>
  <w:style w:type="paragraph" w:customStyle="1" w:styleId="text1">
    <w:name w:val="text1"/>
    <w:basedOn w:val="Normal"/>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Normal"/>
    <w:next w:val="Normal"/>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Normal"/>
    <w:next w:val="Normal"/>
    <w:hidden/>
    <w:qFormat/>
    <w:pPr>
      <w:widowControl/>
      <w:pBdr>
        <w:top w:val="single" w:sz="6" w:space="1" w:color="auto"/>
      </w:pBdr>
      <w:jc w:val="center"/>
    </w:pPr>
    <w:rPr>
      <w:rFonts w:ascii="Arial" w:hAnsi="Arial" w:cs="Arial"/>
      <w:vanish/>
      <w:kern w:val="0"/>
      <w:sz w:val="16"/>
      <w:szCs w:val="16"/>
    </w:rPr>
  </w:style>
  <w:style w:type="paragraph" w:customStyle="1" w:styleId="a13">
    <w:name w:val="正文样式"/>
    <w:basedOn w:val="Normal"/>
    <w:qFormat/>
    <w:pPr>
      <w:adjustRightInd w:val="0"/>
      <w:spacing w:line="400" w:lineRule="atLeast"/>
      <w:ind w:firstLine="570" w:firstLineChars="203"/>
      <w:textAlignment w:val="baseline"/>
    </w:pPr>
    <w:rPr>
      <w:rFonts w:eastAsia="仿宋_GB2312"/>
      <w:kern w:val="0"/>
      <w:sz w:val="28"/>
      <w:szCs w:val="20"/>
    </w:rPr>
  </w:style>
  <w:style w:type="paragraph" w:customStyle="1" w:styleId="xl34">
    <w:name w:val="xl34"/>
    <w:basedOn w:val="Normal"/>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15">
    <w:name w:val="段落正文"/>
    <w:basedOn w:val="PlainText"/>
    <w:qFormat/>
    <w:pPr>
      <w:ind w:firstLine="560" w:firstLineChars="200"/>
    </w:pPr>
    <w:rPr>
      <w:sz w:val="28"/>
    </w:rPr>
  </w:style>
  <w:style w:type="character" w:customStyle="1" w:styleId="gray6">
    <w:name w:val="gray6"/>
    <w:basedOn w:val="DefaultParagraphFont"/>
    <w:qFormat/>
  </w:style>
  <w:style w:type="character" w:customStyle="1" w:styleId="style9">
    <w:name w:val="style9"/>
    <w:basedOn w:val="DefaultParagraphFont"/>
    <w:qFormat/>
  </w:style>
  <w:style w:type="paragraph" w:customStyle="1" w:styleId="24">
    <w:name w:val="2册标题4"/>
    <w:basedOn w:val="Normal"/>
    <w:next w:val="Normal"/>
    <w:qFormat/>
    <w:pPr>
      <w:spacing w:beforeLines="50" w:afterLines="50" w:line="300" w:lineRule="auto"/>
      <w:ind w:left="420" w:leftChars="200"/>
      <w:outlineLvl w:val="3"/>
    </w:pPr>
    <w:rPr>
      <w:rFonts w:ascii="Arial" w:eastAsia="幼圆" w:hAnsi="Arial" w:cs="Arial"/>
      <w:b/>
      <w:sz w:val="24"/>
    </w:rPr>
  </w:style>
  <w:style w:type="character" w:customStyle="1" w:styleId="grame">
    <w:name w:val="grame"/>
    <w:basedOn w:val="DefaultParagraphFont"/>
    <w:qFormat/>
  </w:style>
  <w:style w:type="paragraph" w:customStyle="1" w:styleId="style2">
    <w:name w:val="style2"/>
    <w:basedOn w:val="Normal"/>
    <w:qFormat/>
    <w:pPr>
      <w:widowControl/>
      <w:spacing w:before="100" w:beforeAutospacing="1" w:after="100" w:afterAutospacing="1"/>
      <w:jc w:val="left"/>
    </w:pPr>
    <w:rPr>
      <w:rFonts w:ascii="宋体" w:hAnsi="宋体" w:cs="宋体"/>
      <w:kern w:val="0"/>
      <w:sz w:val="18"/>
      <w:szCs w:val="18"/>
    </w:rPr>
  </w:style>
  <w:style w:type="paragraph" w:customStyle="1" w:styleId="Char14">
    <w:name w:val="Char1"/>
    <w:basedOn w:val="Normal"/>
    <w:qFormat/>
    <w:pPr>
      <w:jc w:val="left"/>
    </w:pPr>
    <w:rPr>
      <w:rFonts w:ascii="Tahoma" w:hAnsi="Tahoma"/>
      <w:sz w:val="24"/>
      <w:szCs w:val="20"/>
    </w:rPr>
  </w:style>
  <w:style w:type="paragraph" w:customStyle="1" w:styleId="11">
    <w:name w:val="编号1"/>
    <w:basedOn w:val="Normal"/>
    <w:qFormat/>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pPr>
      <w:widowControl/>
      <w:spacing w:line="400" w:lineRule="exact"/>
      <w:jc w:val="center"/>
    </w:pPr>
    <w:rPr>
      <w:rFonts w:ascii="Verdana" w:hAnsi="Verdana"/>
      <w:kern w:val="0"/>
      <w:szCs w:val="20"/>
      <w:lang w:eastAsia="en-US"/>
    </w:rPr>
  </w:style>
  <w:style w:type="paragraph" w:customStyle="1" w:styleId="font0">
    <w:name w:val="font0"/>
    <w:basedOn w:val="Normal"/>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Normal"/>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Normal"/>
    <w:qFormat/>
    <w:pPr>
      <w:widowControl/>
      <w:spacing w:before="100" w:beforeAutospacing="1" w:after="100" w:afterAutospacing="1"/>
      <w:jc w:val="left"/>
    </w:pPr>
    <w:rPr>
      <w:kern w:val="0"/>
      <w:sz w:val="24"/>
    </w:rPr>
  </w:style>
  <w:style w:type="paragraph" w:customStyle="1" w:styleId="xl24">
    <w:name w:val="xl2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16">
    <w:name w:val="表格字"/>
    <w:basedOn w:val="Normal"/>
    <w:qFormat/>
    <w:pPr>
      <w:adjustRightInd w:val="0"/>
      <w:jc w:val="center"/>
    </w:pPr>
    <w:rPr>
      <w:rFonts w:ascii="宋体"/>
      <w:sz w:val="24"/>
      <w:szCs w:val="20"/>
    </w:rPr>
  </w:style>
  <w:style w:type="character" w:customStyle="1" w:styleId="a17">
    <w:name w:val="样式 小三 加粗"/>
    <w:qFormat/>
    <w:rPr>
      <w:rFonts w:eastAsia="宋体"/>
      <w:b/>
      <w:bCs/>
      <w:sz w:val="32"/>
    </w:rPr>
  </w:style>
  <w:style w:type="paragraph" w:customStyle="1" w:styleId="xl28">
    <w:name w:val="xl2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lang w:val="en-US" w:eastAsia="zh-CN" w:bidi="ar-SA"/>
    </w:rPr>
  </w:style>
  <w:style w:type="paragraph" w:customStyle="1" w:styleId="CharCharChar">
    <w:name w:val="Char Char Char"/>
    <w:basedOn w:val="Normal"/>
    <w:qFormat/>
    <w:rPr>
      <w:rFonts w:ascii="Tahoma" w:hAnsi="Tahoma"/>
      <w:sz w:val="24"/>
      <w:szCs w:val="20"/>
    </w:rPr>
  </w:style>
  <w:style w:type="paragraph" w:customStyle="1" w:styleId="Char20">
    <w:name w:val="Char2"/>
    <w:basedOn w:val="Normal"/>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DefaultParagraphFont"/>
    <w:qFormat/>
  </w:style>
  <w:style w:type="paragraph" w:customStyle="1" w:styleId="a18">
    <w:name w:val="缩进正文"/>
    <w:basedOn w:val="Normal"/>
    <w:link w:val="Char15"/>
    <w:qFormat/>
    <w:pPr>
      <w:ind w:firstLine="560" w:firstLineChars="200"/>
    </w:pPr>
    <w:rPr>
      <w:rFonts w:eastAsia="仿宋_GB2312" w:cs="宋体"/>
      <w:sz w:val="28"/>
      <w:szCs w:val="20"/>
    </w:rPr>
  </w:style>
  <w:style w:type="character" w:customStyle="1" w:styleId="Char15">
    <w:name w:val="缩进正文 Char"/>
    <w:link w:val="a18"/>
    <w:qFormat/>
    <w:rPr>
      <w:rFonts w:eastAsia="仿宋_GB2312" w:cs="宋体"/>
      <w:kern w:val="2"/>
      <w:sz w:val="28"/>
      <w:lang w:val="en-US" w:eastAsia="zh-CN" w:bidi="ar-SA"/>
    </w:rPr>
  </w:style>
  <w:style w:type="paragraph" w:customStyle="1" w:styleId="12">
    <w:name w:val="列出段落1"/>
    <w:basedOn w:val="Normal"/>
    <w:qFormat/>
    <w:pPr>
      <w:ind w:firstLine="420" w:firstLineChars="200"/>
    </w:pPr>
    <w:rPr>
      <w:rFonts w:ascii="Calibri" w:hAnsi="Calibri" w:cs="Calibri"/>
      <w:szCs w:val="21"/>
    </w:rPr>
  </w:style>
  <w:style w:type="character" w:customStyle="1" w:styleId="Char16">
    <w:name w:val="批注文字 Char"/>
    <w:basedOn w:val="DefaultParagraphFont"/>
    <w:link w:val="CommentText"/>
    <w:qFormat/>
    <w:rPr>
      <w:rFonts w:ascii="宋体"/>
      <w:sz w:val="34"/>
    </w:rPr>
  </w:style>
  <w:style w:type="character" w:customStyle="1" w:styleId="Char17">
    <w:name w:val="批注主题 Char"/>
    <w:basedOn w:val="Char16"/>
    <w:link w:val="CommentSubject"/>
    <w:uiPriority w:val="99"/>
    <w:qFormat/>
    <w:rPr>
      <w:rFonts w:ascii="宋体"/>
      <w:sz w:val="34"/>
    </w:rPr>
  </w:style>
  <w:style w:type="paragraph" w:customStyle="1" w:styleId="a19">
    <w:name w:val="评价"/>
    <w:basedOn w:val="Normal"/>
    <w:qFormat/>
    <w:pPr>
      <w:spacing w:afterLines="20"/>
      <w:ind w:firstLine="1446" w:firstLineChars="200"/>
    </w:pPr>
    <w:rPr>
      <w:rFonts w:ascii="Calibri" w:hAnsi="Calibri"/>
      <w:sz w:val="24"/>
    </w:rPr>
  </w:style>
  <w:style w:type="paragraph" w:customStyle="1" w:styleId="13">
    <w:name w:val="修订1"/>
    <w:hidden/>
    <w:uiPriority w:val="99"/>
    <w:semiHidden/>
    <w:qFormat/>
    <w:rPr>
      <w:rFonts w:ascii="Times New Roman" w:eastAsia="宋体" w:hAnsi="Times New Roman" w:cs="Times New Roman"/>
      <w:kern w:val="2"/>
      <w:sz w:val="21"/>
      <w:szCs w:val="24"/>
      <w:lang w:val="en-US" w:eastAsia="zh-CN" w:bidi="ar-SA"/>
    </w:rPr>
  </w:style>
  <w:style w:type="character" w:customStyle="1" w:styleId="alt-edited1">
    <w:name w:val="alt-edited1"/>
    <w:qFormat/>
    <w:rPr>
      <w:color w:val="4D90F0"/>
    </w:rPr>
  </w:style>
  <w:style w:type="paragraph" w:customStyle="1" w:styleId="toc14">
    <w:name w:val="toc 14"/>
    <w:next w:val="Normal"/>
    <w:qFormat/>
    <w:pPr>
      <w:wordWrap w:val="0"/>
      <w:jc w:val="both"/>
    </w:pPr>
    <w:rPr>
      <w:rFonts w:ascii="Calibri" w:eastAsia="宋体" w:hAnsi="Calibri" w:cs="Times New Roman"/>
      <w:sz w:val="21"/>
      <w:lang w:val="en-US" w:eastAsia="zh-CN" w:bidi="ar-SA"/>
    </w:rPr>
  </w:style>
  <w:style w:type="character" w:customStyle="1" w:styleId="Char18">
    <w:name w:val="文档结构图 Char1"/>
    <w:semiHidden/>
    <w:qFormat/>
    <w:rPr>
      <w:sz w:val="20"/>
    </w:rPr>
  </w:style>
  <w:style w:type="character" w:customStyle="1" w:styleId="Char19">
    <w:name w:val="文档结构图 Char"/>
    <w:semiHidden/>
    <w:qFormat/>
    <w:rPr>
      <w:sz w:val="20"/>
    </w:rPr>
  </w:style>
  <w:style w:type="character" w:customStyle="1" w:styleId="shorttext">
    <w:name w:val="short_text"/>
    <w:basedOn w:val="DefaultParagraphFont"/>
    <w:qFormat/>
    <w:rPr>
      <w:sz w:val="20"/>
    </w:rPr>
  </w:style>
  <w:style w:type="character" w:customStyle="1" w:styleId="Char110">
    <w:name w:val="标题 Char1"/>
    <w:qFormat/>
    <w:rPr>
      <w:b/>
      <w:sz w:val="20"/>
    </w:rPr>
  </w:style>
  <w:style w:type="character" w:customStyle="1" w:styleId="3Char10">
    <w:name w:val="正文文本缩进 3 Char1"/>
    <w:semiHidden/>
    <w:qFormat/>
    <w:rPr>
      <w:sz w:val="20"/>
    </w:rPr>
  </w:style>
  <w:style w:type="character" w:customStyle="1" w:styleId="font21">
    <w:name w:val="font21"/>
    <w:qFormat/>
    <w:rPr>
      <w:color w:val="FF0000"/>
      <w:sz w:val="20"/>
      <w:u w:val="none"/>
    </w:rPr>
  </w:style>
  <w:style w:type="character" w:customStyle="1" w:styleId="14">
    <w:name w:val="不明显强调1"/>
    <w:qFormat/>
    <w:rPr>
      <w:i/>
      <w:sz w:val="20"/>
    </w:rPr>
  </w:style>
  <w:style w:type="character" w:customStyle="1" w:styleId="font71">
    <w:name w:val="font71"/>
    <w:qFormat/>
    <w:rPr>
      <w:sz w:val="20"/>
      <w:u w:val="none"/>
    </w:rPr>
  </w:style>
  <w:style w:type="character" w:customStyle="1" w:styleId="Char111">
    <w:name w:val="页眉 Char1"/>
    <w:semiHidden/>
    <w:qFormat/>
    <w:rPr>
      <w:sz w:val="20"/>
    </w:rPr>
  </w:style>
  <w:style w:type="character" w:customStyle="1" w:styleId="2Char10">
    <w:name w:val="正文文本缩进 2 Char1"/>
    <w:semiHidden/>
    <w:qFormat/>
    <w:rPr>
      <w:sz w:val="20"/>
    </w:rPr>
  </w:style>
  <w:style w:type="character" w:customStyle="1" w:styleId="font61">
    <w:name w:val="font61"/>
    <w:qFormat/>
    <w:rPr>
      <w:sz w:val="20"/>
      <w:u w:val="none"/>
    </w:rPr>
  </w:style>
  <w:style w:type="character" w:customStyle="1" w:styleId="Char112">
    <w:name w:val="纯文本 Char1"/>
    <w:semiHidden/>
    <w:qFormat/>
    <w:rPr>
      <w:sz w:val="20"/>
    </w:rPr>
  </w:style>
  <w:style w:type="character" w:customStyle="1" w:styleId="3Char11">
    <w:name w:val="正文文本 3 Char1"/>
    <w:semiHidden/>
    <w:qFormat/>
    <w:rPr>
      <w:sz w:val="20"/>
    </w:rPr>
  </w:style>
  <w:style w:type="character" w:customStyle="1" w:styleId="Char113">
    <w:name w:val="正文文本缩进 Char1"/>
    <w:semiHidden/>
    <w:qFormat/>
    <w:rPr>
      <w:sz w:val="20"/>
    </w:rPr>
  </w:style>
  <w:style w:type="character" w:customStyle="1" w:styleId="15">
    <w:name w:val="明显参考1"/>
    <w:qFormat/>
    <w:rPr>
      <w:b/>
      <w:sz w:val="20"/>
    </w:rPr>
  </w:style>
  <w:style w:type="character" w:customStyle="1" w:styleId="apple-converted-space">
    <w:name w:val="apple-converted-space"/>
    <w:qFormat/>
    <w:rPr>
      <w:sz w:val="20"/>
    </w:rPr>
  </w:style>
  <w:style w:type="character" w:customStyle="1" w:styleId="16">
    <w:name w:val="书籍标题1"/>
    <w:qFormat/>
    <w:rPr>
      <w:b/>
      <w:i/>
      <w:sz w:val="20"/>
    </w:rPr>
  </w:style>
  <w:style w:type="character" w:customStyle="1" w:styleId="longtext">
    <w:name w:val="long_text"/>
    <w:qFormat/>
    <w:rPr>
      <w:sz w:val="20"/>
    </w:rPr>
  </w:style>
  <w:style w:type="character" w:customStyle="1" w:styleId="Char114">
    <w:name w:val="日期 Char1"/>
    <w:semiHidden/>
    <w:qFormat/>
    <w:rPr>
      <w:sz w:val="20"/>
    </w:rPr>
  </w:style>
  <w:style w:type="character" w:customStyle="1" w:styleId="Char115">
    <w:name w:val="批注文字 Char1"/>
    <w:semiHidden/>
    <w:qFormat/>
    <w:rPr>
      <w:sz w:val="20"/>
    </w:rPr>
  </w:style>
  <w:style w:type="character" w:customStyle="1" w:styleId="17">
    <w:name w:val="明显强调1"/>
    <w:qFormat/>
    <w:rPr>
      <w:i/>
      <w:sz w:val="20"/>
    </w:rPr>
  </w:style>
  <w:style w:type="character" w:customStyle="1" w:styleId="160">
    <w:name w:val="16"/>
    <w:qFormat/>
    <w:rPr>
      <w:b/>
      <w:color w:val="FF0356"/>
      <w:sz w:val="20"/>
    </w:rPr>
  </w:style>
  <w:style w:type="character" w:customStyle="1" w:styleId="Char116">
    <w:name w:val="批注主题 Char1"/>
    <w:semiHidden/>
    <w:qFormat/>
    <w:rPr>
      <w:b/>
      <w:sz w:val="20"/>
    </w:rPr>
  </w:style>
  <w:style w:type="character" w:customStyle="1" w:styleId="2Char11">
    <w:name w:val="正文文本 2 Char1"/>
    <w:semiHidden/>
    <w:qFormat/>
    <w:rPr>
      <w:sz w:val="20"/>
    </w:rPr>
  </w:style>
  <w:style w:type="character" w:customStyle="1" w:styleId="font31">
    <w:name w:val="font31"/>
    <w:qFormat/>
    <w:rPr>
      <w:color w:val="FF0000"/>
      <w:sz w:val="20"/>
      <w:u w:val="none"/>
      <w:vertAlign w:val="superscript"/>
    </w:rPr>
  </w:style>
  <w:style w:type="character" w:customStyle="1" w:styleId="18">
    <w:name w:val="不明显参考1"/>
    <w:qFormat/>
    <w:rPr>
      <w:sz w:val="20"/>
    </w:rPr>
  </w:style>
  <w:style w:type="character" w:customStyle="1" w:styleId="HTMLChar1">
    <w:name w:val="HTML 预设格式 Char1"/>
    <w:semiHidden/>
    <w:qFormat/>
    <w:rPr>
      <w:sz w:val="20"/>
    </w:rPr>
  </w:style>
  <w:style w:type="character" w:customStyle="1" w:styleId="font01">
    <w:name w:val="font01"/>
    <w:basedOn w:val="DefaultParagraphFont"/>
    <w:qFormat/>
    <w:rPr>
      <w:color w:val="FF0000"/>
      <w:sz w:val="20"/>
      <w:u w:val="none"/>
      <w:vertAlign w:val="superscript"/>
    </w:rPr>
  </w:style>
  <w:style w:type="character" w:customStyle="1" w:styleId="Char117">
    <w:name w:val="页脚 Char1"/>
    <w:semiHidden/>
    <w:qFormat/>
    <w:rPr>
      <w:sz w:val="20"/>
    </w:rPr>
  </w:style>
  <w:style w:type="character" w:customStyle="1" w:styleId="Char118">
    <w:name w:val="批注框文本 Char1"/>
    <w:semiHidden/>
    <w:qFormat/>
    <w:rPr>
      <w:sz w:val="20"/>
    </w:rPr>
  </w:style>
  <w:style w:type="paragraph" w:customStyle="1" w:styleId="20">
    <w:name w:val="列出段落2"/>
    <w:basedOn w:val="Normal"/>
    <w:next w:val="toc814"/>
    <w:qFormat/>
    <w:pPr>
      <w:ind w:firstLine="420"/>
    </w:pPr>
    <w:rPr>
      <w:rFonts w:hAnsi="Calibri"/>
      <w:kern w:val="0"/>
      <w:szCs w:val="20"/>
    </w:rPr>
  </w:style>
  <w:style w:type="paragraph" w:customStyle="1" w:styleId="toc814">
    <w:name w:val="toc 814"/>
    <w:next w:val="Normal"/>
    <w:qFormat/>
    <w:pPr>
      <w:wordWrap w:val="0"/>
      <w:ind w:left="2975"/>
      <w:jc w:val="both"/>
    </w:pPr>
    <w:rPr>
      <w:rFonts w:ascii="Calibri" w:eastAsia="宋体" w:hAnsi="Calibri" w:cs="Times New Roman"/>
      <w:sz w:val="21"/>
      <w:lang w:val="en-US" w:eastAsia="zh-CN" w:bidi="ar-SA"/>
    </w:rPr>
  </w:style>
  <w:style w:type="paragraph" w:customStyle="1" w:styleId="toc62">
    <w:name w:val="toc 62"/>
    <w:next w:val="Normal"/>
    <w:qFormat/>
    <w:pPr>
      <w:wordWrap w:val="0"/>
      <w:ind w:left="2125"/>
      <w:jc w:val="both"/>
    </w:pPr>
    <w:rPr>
      <w:rFonts w:ascii="Calibri" w:eastAsia="宋体" w:hAnsi="Calibri" w:cs="Times New Roman"/>
      <w:sz w:val="21"/>
      <w:lang w:val="en-US" w:eastAsia="zh-CN" w:bidi="ar-SA"/>
    </w:rPr>
  </w:style>
  <w:style w:type="paragraph" w:customStyle="1" w:styleId="toc414">
    <w:name w:val="toc 414"/>
    <w:next w:val="Normal"/>
    <w:qFormat/>
    <w:pPr>
      <w:wordWrap w:val="0"/>
      <w:ind w:left="1275"/>
      <w:jc w:val="both"/>
    </w:pPr>
    <w:rPr>
      <w:rFonts w:ascii="Calibri" w:eastAsia="宋体" w:hAnsi="Calibri" w:cs="Times New Roman"/>
      <w:sz w:val="21"/>
      <w:lang w:val="en-US" w:eastAsia="zh-CN" w:bidi="ar-SA"/>
    </w:rPr>
  </w:style>
  <w:style w:type="paragraph" w:customStyle="1" w:styleId="toc411">
    <w:name w:val="toc 411"/>
    <w:next w:val="Normal"/>
    <w:qFormat/>
    <w:pPr>
      <w:wordWrap w:val="0"/>
      <w:ind w:left="1275"/>
      <w:jc w:val="both"/>
    </w:pPr>
    <w:rPr>
      <w:rFonts w:ascii="Calibri" w:eastAsia="宋体" w:hAnsi="Calibri" w:cs="Times New Roman"/>
      <w:sz w:val="21"/>
      <w:lang w:val="en-US" w:eastAsia="zh-CN" w:bidi="ar-SA"/>
    </w:rPr>
  </w:style>
  <w:style w:type="paragraph" w:customStyle="1" w:styleId="xl86">
    <w:name w:val="xl86"/>
    <w:basedOn w:val="Normal"/>
    <w:next w:val="toc515"/>
    <w:qFormat/>
    <w:pPr>
      <w:widowControl/>
      <w:shd w:val="clear" w:color="000000" w:fill="FFFFFF"/>
      <w:spacing w:before="280" w:after="280"/>
      <w:jc w:val="center"/>
    </w:pPr>
    <w:rPr>
      <w:rFonts w:ascii="宋体" w:hAnsi="Calibri"/>
      <w:kern w:val="0"/>
      <w:sz w:val="20"/>
      <w:szCs w:val="20"/>
    </w:rPr>
  </w:style>
  <w:style w:type="paragraph" w:customStyle="1" w:styleId="toc515">
    <w:name w:val="toc 515"/>
    <w:next w:val="Normal"/>
    <w:qFormat/>
    <w:pPr>
      <w:wordWrap w:val="0"/>
      <w:ind w:left="1700"/>
      <w:jc w:val="both"/>
    </w:pPr>
    <w:rPr>
      <w:rFonts w:ascii="Calibri" w:eastAsia="宋体" w:hAnsi="Calibri" w:cs="Times New Roman"/>
      <w:sz w:val="21"/>
      <w:lang w:val="en-US" w:eastAsia="zh-CN" w:bidi="ar-SA"/>
    </w:rPr>
  </w:style>
  <w:style w:type="paragraph" w:customStyle="1" w:styleId="TOCHeading4">
    <w:name w:val="TOC Heading4"/>
    <w:next w:val="Normal"/>
    <w:qFormat/>
    <w:pPr>
      <w:wordWrap w:val="0"/>
    </w:pPr>
    <w:rPr>
      <w:rFonts w:ascii="Calibri" w:eastAsia="宋体" w:hAnsi="Calibri" w:cs="Times New Roman"/>
      <w:sz w:val="32"/>
      <w:lang w:val="en-US" w:eastAsia="zh-CN" w:bidi="ar-SA"/>
    </w:rPr>
  </w:style>
  <w:style w:type="paragraph" w:customStyle="1" w:styleId="toc15">
    <w:name w:val="toc 15"/>
    <w:next w:val="Normal"/>
    <w:qFormat/>
    <w:pPr>
      <w:wordWrap w:val="0"/>
      <w:jc w:val="both"/>
    </w:pPr>
    <w:rPr>
      <w:rFonts w:ascii="Calibri" w:eastAsia="宋体" w:hAnsi="Calibri" w:cs="Times New Roman"/>
      <w:sz w:val="21"/>
      <w:lang w:val="en-US" w:eastAsia="zh-CN" w:bidi="ar-SA"/>
    </w:rPr>
  </w:style>
  <w:style w:type="paragraph" w:customStyle="1" w:styleId="TOCHeading2">
    <w:name w:val="TOC Heading2"/>
    <w:next w:val="Normal"/>
    <w:qFormat/>
    <w:pPr>
      <w:wordWrap w:val="0"/>
    </w:pPr>
    <w:rPr>
      <w:rFonts w:ascii="Calibri" w:eastAsia="宋体" w:hAnsi="Calibri" w:cs="Times New Roman"/>
      <w:sz w:val="32"/>
      <w:lang w:val="en-US" w:eastAsia="zh-CN" w:bidi="ar-SA"/>
    </w:rPr>
  </w:style>
  <w:style w:type="paragraph" w:customStyle="1" w:styleId="TOCHeading1">
    <w:name w:val="TOC Heading1"/>
    <w:next w:val="Normal"/>
    <w:qFormat/>
    <w:pPr>
      <w:wordWrap w:val="0"/>
    </w:pPr>
    <w:rPr>
      <w:rFonts w:ascii="Calibri" w:eastAsia="宋体" w:hAnsi="Calibri" w:cs="Times New Roman"/>
      <w:sz w:val="32"/>
      <w:lang w:val="en-US" w:eastAsia="zh-CN" w:bidi="ar-SA"/>
    </w:rPr>
  </w:style>
  <w:style w:type="paragraph" w:customStyle="1" w:styleId="toc73">
    <w:name w:val="toc 73"/>
    <w:next w:val="Normal"/>
    <w:qFormat/>
    <w:pPr>
      <w:wordWrap w:val="0"/>
      <w:ind w:left="2550"/>
      <w:jc w:val="both"/>
    </w:pPr>
    <w:rPr>
      <w:rFonts w:ascii="Calibri" w:eastAsia="宋体" w:hAnsi="Calibri" w:cs="Times New Roman"/>
      <w:sz w:val="21"/>
      <w:lang w:val="en-US" w:eastAsia="zh-CN" w:bidi="ar-SA"/>
    </w:rPr>
  </w:style>
  <w:style w:type="paragraph" w:customStyle="1" w:styleId="font7">
    <w:name w:val="font7"/>
    <w:basedOn w:val="Normal"/>
    <w:next w:val="toc810"/>
    <w:qFormat/>
    <w:pPr>
      <w:widowControl/>
      <w:spacing w:before="280" w:after="280"/>
    </w:pPr>
    <w:rPr>
      <w:rFonts w:ascii="Arial" w:hAnsi="Calibri"/>
      <w:kern w:val="0"/>
      <w:sz w:val="18"/>
      <w:szCs w:val="20"/>
    </w:rPr>
  </w:style>
  <w:style w:type="paragraph" w:customStyle="1" w:styleId="toc810">
    <w:name w:val="toc 810"/>
    <w:next w:val="Normal"/>
    <w:qFormat/>
    <w:pPr>
      <w:wordWrap w:val="0"/>
      <w:ind w:left="2975"/>
      <w:jc w:val="both"/>
    </w:pPr>
    <w:rPr>
      <w:rFonts w:ascii="Calibri" w:eastAsia="宋体" w:hAnsi="Calibri" w:cs="Times New Roman"/>
      <w:sz w:val="21"/>
      <w:lang w:val="en-US" w:eastAsia="zh-CN" w:bidi="ar-SA"/>
    </w:rPr>
  </w:style>
  <w:style w:type="paragraph" w:customStyle="1" w:styleId="xl113">
    <w:name w:val="xl113"/>
    <w:basedOn w:val="Normal"/>
    <w:next w:val="TOCHeading10"/>
    <w:qFormat/>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Normal"/>
    <w:qFormat/>
    <w:pPr>
      <w:wordWrap w:val="0"/>
    </w:pPr>
    <w:rPr>
      <w:rFonts w:ascii="Calibri" w:eastAsia="宋体" w:hAnsi="Calibri" w:cs="Times New Roman"/>
      <w:sz w:val="32"/>
      <w:lang w:val="en-US" w:eastAsia="zh-CN" w:bidi="ar-SA"/>
    </w:rPr>
  </w:style>
  <w:style w:type="paragraph" w:customStyle="1" w:styleId="toc89">
    <w:name w:val="toc 89"/>
    <w:next w:val="Normal"/>
    <w:qFormat/>
    <w:pPr>
      <w:wordWrap w:val="0"/>
      <w:ind w:left="2975"/>
      <w:jc w:val="both"/>
    </w:pPr>
    <w:rPr>
      <w:rFonts w:ascii="Calibri" w:eastAsia="宋体" w:hAnsi="Calibri" w:cs="Times New Roman"/>
      <w:sz w:val="21"/>
      <w:lang w:val="en-US" w:eastAsia="zh-CN" w:bidi="ar-SA"/>
    </w:rPr>
  </w:style>
  <w:style w:type="paragraph" w:customStyle="1" w:styleId="xl73">
    <w:name w:val="xl73"/>
    <w:basedOn w:val="Normal"/>
    <w:next w:val="toc613"/>
    <w:qFormat/>
    <w:pPr>
      <w:widowControl/>
      <w:shd w:val="clear" w:color="000000" w:fill="FFFFFF"/>
      <w:spacing w:before="280" w:after="280"/>
      <w:jc w:val="center"/>
    </w:pPr>
    <w:rPr>
      <w:rFonts w:ascii="宋体" w:hAnsi="Calibri"/>
      <w:kern w:val="0"/>
      <w:sz w:val="20"/>
      <w:szCs w:val="20"/>
    </w:rPr>
  </w:style>
  <w:style w:type="paragraph" w:customStyle="1" w:styleId="toc613">
    <w:name w:val="toc 613"/>
    <w:next w:val="Normal"/>
    <w:qFormat/>
    <w:pPr>
      <w:wordWrap w:val="0"/>
      <w:ind w:left="2125"/>
      <w:jc w:val="both"/>
    </w:pPr>
    <w:rPr>
      <w:rFonts w:ascii="Calibri" w:eastAsia="宋体" w:hAnsi="Calibri" w:cs="Times New Roman"/>
      <w:sz w:val="21"/>
      <w:lang w:val="en-US" w:eastAsia="zh-CN" w:bidi="ar-SA"/>
    </w:rPr>
  </w:style>
  <w:style w:type="paragraph" w:customStyle="1" w:styleId="xl79">
    <w:name w:val="xl79"/>
    <w:basedOn w:val="Normal"/>
    <w:next w:val="toc87"/>
    <w:qFormat/>
    <w:pPr>
      <w:widowControl/>
      <w:shd w:val="clear" w:color="000000" w:fill="FFFFFF"/>
      <w:spacing w:before="280" w:after="280"/>
    </w:pPr>
    <w:rPr>
      <w:rFonts w:ascii="宋体" w:hAnsi="Calibri"/>
      <w:b/>
      <w:kern w:val="0"/>
      <w:sz w:val="20"/>
      <w:szCs w:val="20"/>
    </w:rPr>
  </w:style>
  <w:style w:type="paragraph" w:customStyle="1" w:styleId="toc87">
    <w:name w:val="toc 87"/>
    <w:next w:val="Normal"/>
    <w:qFormat/>
    <w:pPr>
      <w:wordWrap w:val="0"/>
      <w:ind w:left="2975"/>
      <w:jc w:val="both"/>
    </w:pPr>
    <w:rPr>
      <w:rFonts w:ascii="Calibri" w:eastAsia="宋体" w:hAnsi="Calibri" w:cs="Times New Roman"/>
      <w:sz w:val="21"/>
      <w:lang w:val="en-US" w:eastAsia="zh-CN" w:bidi="ar-SA"/>
    </w:rPr>
  </w:style>
  <w:style w:type="paragraph" w:customStyle="1" w:styleId="toc11">
    <w:name w:val="toc 11"/>
    <w:next w:val="Normal"/>
    <w:qFormat/>
    <w:pPr>
      <w:wordWrap w:val="0"/>
      <w:jc w:val="both"/>
    </w:pPr>
    <w:rPr>
      <w:rFonts w:ascii="Calibri" w:eastAsia="宋体" w:hAnsi="Calibri" w:cs="Times New Roman"/>
      <w:sz w:val="21"/>
      <w:lang w:val="en-US" w:eastAsia="zh-CN" w:bidi="ar-SA"/>
    </w:rPr>
  </w:style>
  <w:style w:type="paragraph" w:customStyle="1" w:styleId="toc410">
    <w:name w:val="toc 410"/>
    <w:next w:val="Normal"/>
    <w:qFormat/>
    <w:pPr>
      <w:wordWrap w:val="0"/>
      <w:ind w:left="1275"/>
      <w:jc w:val="both"/>
    </w:pPr>
    <w:rPr>
      <w:rFonts w:ascii="Calibri" w:eastAsia="宋体" w:hAnsi="Calibri" w:cs="Times New Roman"/>
      <w:sz w:val="21"/>
      <w:lang w:val="en-US" w:eastAsia="zh-CN" w:bidi="ar-SA"/>
    </w:rPr>
  </w:style>
  <w:style w:type="paragraph" w:customStyle="1" w:styleId="toc611">
    <w:name w:val="toc 611"/>
    <w:next w:val="Normal"/>
    <w:qFormat/>
    <w:pPr>
      <w:wordWrap w:val="0"/>
      <w:ind w:left="2125"/>
      <w:jc w:val="both"/>
    </w:pPr>
    <w:rPr>
      <w:rFonts w:ascii="Calibri" w:eastAsia="宋体" w:hAnsi="Calibri" w:cs="Times New Roman"/>
      <w:sz w:val="21"/>
      <w:lang w:val="en-US" w:eastAsia="zh-CN" w:bidi="ar-SA"/>
    </w:rPr>
  </w:style>
  <w:style w:type="paragraph" w:customStyle="1" w:styleId="xl112">
    <w:name w:val="xl112"/>
    <w:basedOn w:val="Normal"/>
    <w:next w:val="toc611"/>
    <w:qFormat/>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Normal"/>
    <w:qFormat/>
    <w:pPr>
      <w:wordWrap w:val="0"/>
      <w:ind w:left="1700"/>
      <w:jc w:val="both"/>
    </w:pPr>
    <w:rPr>
      <w:rFonts w:ascii="Calibri" w:eastAsia="宋体" w:hAnsi="Calibri" w:cs="Times New Roman"/>
      <w:sz w:val="21"/>
      <w:lang w:val="en-US" w:eastAsia="zh-CN" w:bidi="ar-SA"/>
    </w:rPr>
  </w:style>
  <w:style w:type="paragraph" w:customStyle="1" w:styleId="toc44">
    <w:name w:val="toc 44"/>
    <w:next w:val="Normal"/>
    <w:qFormat/>
    <w:pPr>
      <w:wordWrap w:val="0"/>
      <w:ind w:left="1275"/>
      <w:jc w:val="both"/>
    </w:pPr>
    <w:rPr>
      <w:rFonts w:ascii="Calibri" w:eastAsia="宋体" w:hAnsi="Calibri" w:cs="Times New Roman"/>
      <w:sz w:val="21"/>
      <w:lang w:val="en-US" w:eastAsia="zh-CN" w:bidi="ar-SA"/>
    </w:rPr>
  </w:style>
  <w:style w:type="paragraph" w:customStyle="1" w:styleId="toc412">
    <w:name w:val="toc 412"/>
    <w:next w:val="Normal"/>
    <w:qFormat/>
    <w:pPr>
      <w:wordWrap w:val="0"/>
      <w:ind w:left="1275"/>
      <w:jc w:val="both"/>
    </w:pPr>
    <w:rPr>
      <w:rFonts w:ascii="Calibri" w:eastAsia="宋体" w:hAnsi="Calibri" w:cs="Times New Roman"/>
      <w:sz w:val="21"/>
      <w:lang w:val="en-US" w:eastAsia="zh-CN" w:bidi="ar-SA"/>
    </w:rPr>
  </w:style>
  <w:style w:type="paragraph" w:customStyle="1" w:styleId="xl74">
    <w:name w:val="xl74"/>
    <w:basedOn w:val="Normal"/>
    <w:next w:val="toc57"/>
    <w:qFormat/>
    <w:pPr>
      <w:widowControl/>
      <w:shd w:val="clear" w:color="000000" w:fill="FFFFFF"/>
      <w:spacing w:before="280" w:after="280"/>
    </w:pPr>
    <w:rPr>
      <w:rFonts w:ascii="宋体" w:hAnsi="Calibri"/>
      <w:kern w:val="0"/>
      <w:sz w:val="20"/>
      <w:szCs w:val="20"/>
    </w:rPr>
  </w:style>
  <w:style w:type="paragraph" w:customStyle="1" w:styleId="toc57">
    <w:name w:val="toc 57"/>
    <w:next w:val="Normal"/>
    <w:qFormat/>
    <w:pPr>
      <w:wordWrap w:val="0"/>
      <w:ind w:left="1700"/>
      <w:jc w:val="both"/>
    </w:pPr>
    <w:rPr>
      <w:rFonts w:ascii="Calibri" w:eastAsia="宋体" w:hAnsi="Calibri" w:cs="Times New Roman"/>
      <w:sz w:val="21"/>
      <w:lang w:val="en-US" w:eastAsia="zh-CN" w:bidi="ar-SA"/>
    </w:rPr>
  </w:style>
  <w:style w:type="paragraph" w:customStyle="1" w:styleId="toc912">
    <w:name w:val="toc 912"/>
    <w:next w:val="Normal"/>
    <w:qFormat/>
    <w:pPr>
      <w:wordWrap w:val="0"/>
      <w:ind w:left="3400"/>
      <w:jc w:val="both"/>
    </w:pPr>
    <w:rPr>
      <w:rFonts w:ascii="Calibri" w:eastAsia="宋体" w:hAnsi="Calibri" w:cs="Times New Roman"/>
      <w:sz w:val="21"/>
      <w:lang w:val="en-US" w:eastAsia="zh-CN" w:bidi="ar-SA"/>
    </w:rPr>
  </w:style>
  <w:style w:type="paragraph" w:customStyle="1" w:styleId="toc91">
    <w:name w:val="toc 91"/>
    <w:next w:val="Normal"/>
    <w:qFormat/>
    <w:pPr>
      <w:wordWrap w:val="0"/>
      <w:ind w:left="3400"/>
      <w:jc w:val="both"/>
    </w:pPr>
    <w:rPr>
      <w:rFonts w:ascii="Calibri" w:eastAsia="宋体" w:hAnsi="Calibri" w:cs="Times New Roman"/>
      <w:sz w:val="21"/>
      <w:lang w:val="en-US" w:eastAsia="zh-CN" w:bidi="ar-SA"/>
    </w:rPr>
  </w:style>
  <w:style w:type="paragraph" w:customStyle="1" w:styleId="toc38">
    <w:name w:val="toc 38"/>
    <w:next w:val="Normal"/>
    <w:qFormat/>
    <w:pPr>
      <w:wordWrap w:val="0"/>
      <w:ind w:left="850"/>
      <w:jc w:val="both"/>
    </w:pPr>
    <w:rPr>
      <w:rFonts w:ascii="Calibri" w:eastAsia="宋体" w:hAnsi="Calibri" w:cs="Times New Roman"/>
      <w:sz w:val="21"/>
      <w:lang w:val="en-US" w:eastAsia="zh-CN" w:bidi="ar-SA"/>
    </w:rPr>
  </w:style>
  <w:style w:type="paragraph" w:customStyle="1" w:styleId="toc95">
    <w:name w:val="toc 95"/>
    <w:next w:val="Normal"/>
    <w:qFormat/>
    <w:pPr>
      <w:wordWrap w:val="0"/>
      <w:ind w:left="3400"/>
      <w:jc w:val="both"/>
    </w:pPr>
    <w:rPr>
      <w:rFonts w:ascii="Calibri" w:eastAsia="宋体" w:hAnsi="Calibri" w:cs="Times New Roman"/>
      <w:sz w:val="21"/>
      <w:lang w:val="en-US" w:eastAsia="zh-CN" w:bidi="ar-SA"/>
    </w:rPr>
  </w:style>
  <w:style w:type="paragraph" w:customStyle="1" w:styleId="50">
    <w:name w:val="列出段落5"/>
    <w:basedOn w:val="Normal"/>
    <w:next w:val="toc312"/>
    <w:qFormat/>
    <w:pPr>
      <w:ind w:firstLine="420"/>
    </w:pPr>
    <w:rPr>
      <w:rFonts w:hAnsi="Calibri"/>
      <w:kern w:val="0"/>
      <w:szCs w:val="20"/>
    </w:rPr>
  </w:style>
  <w:style w:type="paragraph" w:customStyle="1" w:styleId="toc312">
    <w:name w:val="toc 312"/>
    <w:next w:val="Normal"/>
    <w:qFormat/>
    <w:pPr>
      <w:wordWrap w:val="0"/>
      <w:ind w:left="850"/>
      <w:jc w:val="both"/>
    </w:pPr>
    <w:rPr>
      <w:rFonts w:ascii="Calibri" w:eastAsia="宋体" w:hAnsi="Calibri" w:cs="Times New Roman"/>
      <w:sz w:val="21"/>
      <w:lang w:val="en-US" w:eastAsia="zh-CN" w:bidi="ar-SA"/>
    </w:rPr>
  </w:style>
  <w:style w:type="paragraph" w:customStyle="1" w:styleId="xl66">
    <w:name w:val="xl66"/>
    <w:basedOn w:val="Normal"/>
    <w:next w:val="toc56"/>
    <w:qFormat/>
    <w:pPr>
      <w:widowControl/>
      <w:shd w:val="clear" w:color="000000" w:fill="FFFFFF"/>
      <w:spacing w:before="280" w:after="280"/>
    </w:pPr>
    <w:rPr>
      <w:rFonts w:ascii="宋体" w:hAnsi="Calibri"/>
      <w:kern w:val="0"/>
      <w:sz w:val="20"/>
      <w:szCs w:val="20"/>
    </w:rPr>
  </w:style>
  <w:style w:type="paragraph" w:customStyle="1" w:styleId="toc56">
    <w:name w:val="toc 56"/>
    <w:next w:val="Normal"/>
    <w:qFormat/>
    <w:pPr>
      <w:wordWrap w:val="0"/>
      <w:ind w:left="1700"/>
      <w:jc w:val="both"/>
    </w:pPr>
    <w:rPr>
      <w:rFonts w:ascii="Calibri" w:eastAsia="宋体" w:hAnsi="Calibri" w:cs="Times New Roman"/>
      <w:sz w:val="21"/>
      <w:lang w:val="en-US" w:eastAsia="zh-CN" w:bidi="ar-SA"/>
    </w:rPr>
  </w:style>
  <w:style w:type="paragraph" w:customStyle="1" w:styleId="TOCHeading3">
    <w:name w:val="TOC Heading3"/>
    <w:next w:val="Normal"/>
    <w:qFormat/>
    <w:pPr>
      <w:wordWrap w:val="0"/>
    </w:pPr>
    <w:rPr>
      <w:rFonts w:ascii="Calibri" w:eastAsia="宋体" w:hAnsi="Calibri" w:cs="Times New Roman"/>
      <w:sz w:val="32"/>
      <w:lang w:val="en-US" w:eastAsia="zh-CN" w:bidi="ar-SA"/>
    </w:rPr>
  </w:style>
  <w:style w:type="paragraph" w:customStyle="1" w:styleId="toc65">
    <w:name w:val="toc 65"/>
    <w:next w:val="Normal"/>
    <w:qFormat/>
    <w:pPr>
      <w:wordWrap w:val="0"/>
      <w:ind w:left="2125"/>
      <w:jc w:val="both"/>
    </w:pPr>
    <w:rPr>
      <w:rFonts w:ascii="Calibri" w:eastAsia="宋体" w:hAnsi="Calibri" w:cs="Times New Roman"/>
      <w:sz w:val="21"/>
      <w:lang w:val="en-US" w:eastAsia="zh-CN" w:bidi="ar-SA"/>
    </w:rPr>
  </w:style>
  <w:style w:type="paragraph" w:customStyle="1" w:styleId="toc25">
    <w:name w:val="toc 25"/>
    <w:next w:val="Normal"/>
    <w:qFormat/>
    <w:pPr>
      <w:wordWrap w:val="0"/>
      <w:ind w:left="425"/>
      <w:jc w:val="both"/>
    </w:pPr>
    <w:rPr>
      <w:rFonts w:ascii="Calibri" w:eastAsia="宋体" w:hAnsi="Calibri" w:cs="Times New Roman"/>
      <w:sz w:val="21"/>
      <w:lang w:val="en-US" w:eastAsia="zh-CN" w:bidi="ar-SA"/>
    </w:rPr>
  </w:style>
  <w:style w:type="paragraph" w:customStyle="1" w:styleId="xl84">
    <w:name w:val="xl84"/>
    <w:basedOn w:val="Normal"/>
    <w:next w:val="toc99"/>
    <w:qFormat/>
    <w:pPr>
      <w:widowControl/>
      <w:shd w:val="clear" w:color="000000" w:fill="FFFFFF"/>
      <w:spacing w:before="280" w:after="280"/>
      <w:jc w:val="center"/>
    </w:pPr>
    <w:rPr>
      <w:rFonts w:ascii="宋体" w:hAnsi="Calibri"/>
      <w:kern w:val="0"/>
      <w:sz w:val="20"/>
      <w:szCs w:val="20"/>
    </w:rPr>
  </w:style>
  <w:style w:type="paragraph" w:customStyle="1" w:styleId="toc99">
    <w:name w:val="toc 99"/>
    <w:next w:val="Normal"/>
    <w:qFormat/>
    <w:pPr>
      <w:wordWrap w:val="0"/>
      <w:ind w:left="3400"/>
      <w:jc w:val="both"/>
    </w:pPr>
    <w:rPr>
      <w:rFonts w:ascii="Calibri" w:eastAsia="宋体" w:hAnsi="Calibri" w:cs="Times New Roman"/>
      <w:sz w:val="21"/>
      <w:lang w:val="en-US" w:eastAsia="zh-CN" w:bidi="ar-SA"/>
    </w:rPr>
  </w:style>
  <w:style w:type="paragraph" w:customStyle="1" w:styleId="xl81">
    <w:name w:val="xl81"/>
    <w:basedOn w:val="Normal"/>
    <w:next w:val="toc59"/>
    <w:qFormat/>
    <w:pPr>
      <w:widowControl/>
      <w:shd w:val="clear" w:color="000000" w:fill="FFFFFF"/>
      <w:spacing w:before="280" w:after="280"/>
    </w:pPr>
    <w:rPr>
      <w:rFonts w:ascii="宋体" w:hAnsi="Calibri"/>
      <w:kern w:val="0"/>
      <w:sz w:val="20"/>
      <w:szCs w:val="20"/>
    </w:rPr>
  </w:style>
  <w:style w:type="paragraph" w:customStyle="1" w:styleId="toc59">
    <w:name w:val="toc 59"/>
    <w:next w:val="Normal"/>
    <w:qFormat/>
    <w:pPr>
      <w:wordWrap w:val="0"/>
      <w:ind w:left="1700"/>
      <w:jc w:val="both"/>
    </w:pPr>
    <w:rPr>
      <w:rFonts w:ascii="Calibri" w:eastAsia="宋体" w:hAnsi="Calibri" w:cs="Times New Roman"/>
      <w:sz w:val="21"/>
      <w:lang w:val="en-US" w:eastAsia="zh-CN" w:bidi="ar-SA"/>
    </w:rPr>
  </w:style>
  <w:style w:type="paragraph" w:customStyle="1" w:styleId="110">
    <w:name w:val="目录 11"/>
    <w:next w:val="Normal"/>
    <w:qFormat/>
    <w:pPr>
      <w:wordWrap w:val="0"/>
      <w:jc w:val="both"/>
    </w:pPr>
    <w:rPr>
      <w:rFonts w:ascii="Calibri" w:eastAsia="宋体" w:hAnsi="Calibri" w:cs="Times New Roman"/>
      <w:sz w:val="21"/>
      <w:lang w:val="en-US" w:eastAsia="zh-CN" w:bidi="ar-SA"/>
    </w:rPr>
  </w:style>
  <w:style w:type="paragraph" w:customStyle="1" w:styleId="toc513">
    <w:name w:val="toc 513"/>
    <w:next w:val="Normal"/>
    <w:qFormat/>
    <w:pPr>
      <w:wordWrap w:val="0"/>
      <w:ind w:left="1700"/>
      <w:jc w:val="both"/>
    </w:pPr>
    <w:rPr>
      <w:rFonts w:ascii="Calibri" w:eastAsia="宋体" w:hAnsi="Calibri" w:cs="Times New Roman"/>
      <w:sz w:val="21"/>
      <w:lang w:val="en-US" w:eastAsia="zh-CN" w:bidi="ar-SA"/>
    </w:rPr>
  </w:style>
  <w:style w:type="paragraph" w:customStyle="1" w:styleId="TOCHeading12">
    <w:name w:val="TOC Heading12"/>
    <w:next w:val="Normal"/>
    <w:qFormat/>
    <w:pPr>
      <w:wordWrap w:val="0"/>
    </w:pPr>
    <w:rPr>
      <w:rFonts w:ascii="Calibri" w:eastAsia="宋体" w:hAnsi="Calibri" w:cs="Times New Roman"/>
      <w:sz w:val="32"/>
      <w:lang w:val="en-US" w:eastAsia="zh-CN" w:bidi="ar-SA"/>
    </w:rPr>
  </w:style>
  <w:style w:type="paragraph" w:customStyle="1" w:styleId="TOCHeading8">
    <w:name w:val="TOC Heading8"/>
    <w:next w:val="Normal"/>
    <w:qFormat/>
    <w:pPr>
      <w:wordWrap w:val="0"/>
    </w:pPr>
    <w:rPr>
      <w:rFonts w:ascii="Calibri" w:eastAsia="宋体" w:hAnsi="Calibri" w:cs="Times New Roman"/>
      <w:sz w:val="32"/>
      <w:lang w:val="en-US" w:eastAsia="zh-CN" w:bidi="ar-SA"/>
    </w:rPr>
  </w:style>
  <w:style w:type="paragraph" w:customStyle="1" w:styleId="toc711">
    <w:name w:val="toc 711"/>
    <w:next w:val="Normal"/>
    <w:qFormat/>
    <w:pPr>
      <w:wordWrap w:val="0"/>
      <w:ind w:left="2550"/>
      <w:jc w:val="both"/>
    </w:pPr>
    <w:rPr>
      <w:rFonts w:ascii="Calibri" w:eastAsia="宋体" w:hAnsi="Calibri" w:cs="Times New Roman"/>
      <w:sz w:val="21"/>
      <w:lang w:val="en-US" w:eastAsia="zh-CN" w:bidi="ar-SA"/>
    </w:rPr>
  </w:style>
  <w:style w:type="paragraph" w:customStyle="1" w:styleId="toc212">
    <w:name w:val="toc 212"/>
    <w:next w:val="Normal"/>
    <w:qFormat/>
    <w:pPr>
      <w:wordWrap w:val="0"/>
      <w:ind w:left="425"/>
      <w:jc w:val="both"/>
    </w:pPr>
    <w:rPr>
      <w:rFonts w:ascii="Calibri" w:eastAsia="宋体" w:hAnsi="Calibri" w:cs="Times New Roman"/>
      <w:sz w:val="21"/>
      <w:lang w:val="en-US" w:eastAsia="zh-CN" w:bidi="ar-SA"/>
    </w:rPr>
  </w:style>
  <w:style w:type="paragraph" w:customStyle="1" w:styleId="21">
    <w:name w:val="目录 21"/>
    <w:next w:val="Normal"/>
    <w:qFormat/>
    <w:pPr>
      <w:wordWrap w:val="0"/>
      <w:ind w:left="425"/>
      <w:jc w:val="both"/>
    </w:pPr>
    <w:rPr>
      <w:rFonts w:ascii="Calibri" w:eastAsia="宋体" w:hAnsi="Calibri" w:cs="Times New Roman"/>
      <w:sz w:val="21"/>
      <w:lang w:val="en-US" w:eastAsia="zh-CN" w:bidi="ar-SA"/>
    </w:rPr>
  </w:style>
  <w:style w:type="paragraph" w:customStyle="1" w:styleId="toc45">
    <w:name w:val="toc 45"/>
    <w:next w:val="Normal"/>
    <w:qFormat/>
    <w:pPr>
      <w:wordWrap w:val="0"/>
      <w:ind w:left="1275"/>
      <w:jc w:val="both"/>
    </w:pPr>
    <w:rPr>
      <w:rFonts w:ascii="Calibri" w:eastAsia="宋体" w:hAnsi="Calibri" w:cs="Times New Roman"/>
      <w:sz w:val="21"/>
      <w:lang w:val="en-US" w:eastAsia="zh-CN" w:bidi="ar-SA"/>
    </w:rPr>
  </w:style>
  <w:style w:type="paragraph" w:customStyle="1" w:styleId="xl116">
    <w:name w:val="xl116"/>
    <w:basedOn w:val="Normal"/>
    <w:next w:val="toc78"/>
    <w:qFormat/>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Normal"/>
    <w:qFormat/>
    <w:pPr>
      <w:wordWrap w:val="0"/>
      <w:ind w:left="2550"/>
      <w:jc w:val="both"/>
    </w:pPr>
    <w:rPr>
      <w:rFonts w:ascii="Calibri" w:eastAsia="宋体" w:hAnsi="Calibri" w:cs="Times New Roman"/>
      <w:sz w:val="21"/>
      <w:lang w:val="en-US" w:eastAsia="zh-CN" w:bidi="ar-SA"/>
    </w:rPr>
  </w:style>
  <w:style w:type="paragraph" w:customStyle="1" w:styleId="font8">
    <w:name w:val="font8"/>
    <w:basedOn w:val="Normal"/>
    <w:next w:val="TOCHeading11"/>
    <w:qFormat/>
    <w:pPr>
      <w:widowControl/>
      <w:spacing w:before="280" w:after="280"/>
    </w:pPr>
    <w:rPr>
      <w:rFonts w:ascii="Arial" w:hAnsi="Calibri"/>
      <w:kern w:val="0"/>
      <w:sz w:val="20"/>
      <w:szCs w:val="20"/>
    </w:rPr>
  </w:style>
  <w:style w:type="paragraph" w:customStyle="1" w:styleId="TOCHeading11">
    <w:name w:val="TOC Heading11"/>
    <w:next w:val="Normal"/>
    <w:qFormat/>
    <w:pPr>
      <w:wordWrap w:val="0"/>
    </w:pPr>
    <w:rPr>
      <w:rFonts w:ascii="Calibri" w:eastAsia="宋体" w:hAnsi="Calibri" w:cs="Times New Roman"/>
      <w:sz w:val="32"/>
      <w:lang w:val="en-US" w:eastAsia="zh-CN" w:bidi="ar-SA"/>
    </w:rPr>
  </w:style>
  <w:style w:type="paragraph" w:customStyle="1" w:styleId="xl69">
    <w:name w:val="xl69"/>
    <w:basedOn w:val="Normal"/>
    <w:next w:val="toc48"/>
    <w:qFormat/>
    <w:pPr>
      <w:widowControl/>
      <w:shd w:val="clear" w:color="000000" w:fill="FFFFFF"/>
      <w:spacing w:before="280" w:after="280"/>
    </w:pPr>
    <w:rPr>
      <w:rFonts w:ascii="宋体" w:hAnsi="Calibri"/>
      <w:b/>
      <w:kern w:val="0"/>
      <w:sz w:val="20"/>
      <w:szCs w:val="20"/>
    </w:rPr>
  </w:style>
  <w:style w:type="paragraph" w:customStyle="1" w:styleId="toc48">
    <w:name w:val="toc 48"/>
    <w:next w:val="Normal"/>
    <w:qFormat/>
    <w:pPr>
      <w:wordWrap w:val="0"/>
      <w:ind w:left="1275"/>
      <w:jc w:val="both"/>
    </w:pPr>
    <w:rPr>
      <w:rFonts w:ascii="Calibri" w:eastAsia="宋体" w:hAnsi="Calibri" w:cs="Times New Roman"/>
      <w:sz w:val="21"/>
      <w:lang w:val="en-US" w:eastAsia="zh-CN" w:bidi="ar-SA"/>
    </w:rPr>
  </w:style>
  <w:style w:type="paragraph" w:customStyle="1" w:styleId="toc813">
    <w:name w:val="toc 813"/>
    <w:next w:val="Normal"/>
    <w:qFormat/>
    <w:pPr>
      <w:wordWrap w:val="0"/>
      <w:ind w:left="2975"/>
      <w:jc w:val="both"/>
    </w:pPr>
    <w:rPr>
      <w:rFonts w:ascii="Calibri" w:eastAsia="宋体" w:hAnsi="Calibri" w:cs="Times New Roman"/>
      <w:sz w:val="21"/>
      <w:lang w:val="en-US" w:eastAsia="zh-CN" w:bidi="ar-SA"/>
    </w:rPr>
  </w:style>
  <w:style w:type="paragraph" w:customStyle="1" w:styleId="91">
    <w:name w:val="目录 91"/>
    <w:next w:val="Normal"/>
    <w:qFormat/>
    <w:pPr>
      <w:wordWrap w:val="0"/>
      <w:ind w:left="3400"/>
      <w:jc w:val="both"/>
    </w:pPr>
    <w:rPr>
      <w:rFonts w:ascii="Calibri" w:eastAsia="宋体" w:hAnsi="Calibri" w:cs="Times New Roman"/>
      <w:sz w:val="21"/>
      <w:lang w:val="en-US" w:eastAsia="zh-CN" w:bidi="ar-SA"/>
    </w:rPr>
  </w:style>
  <w:style w:type="paragraph" w:customStyle="1" w:styleId="30">
    <w:name w:val="列出段落3"/>
    <w:basedOn w:val="Normal"/>
    <w:next w:val="toc213"/>
    <w:qFormat/>
    <w:pPr>
      <w:ind w:firstLine="420"/>
    </w:pPr>
    <w:rPr>
      <w:rFonts w:hAnsi="Calibri"/>
      <w:kern w:val="0"/>
      <w:szCs w:val="20"/>
    </w:rPr>
  </w:style>
  <w:style w:type="paragraph" w:customStyle="1" w:styleId="toc213">
    <w:name w:val="toc 213"/>
    <w:next w:val="Normal"/>
    <w:qFormat/>
    <w:pPr>
      <w:wordWrap w:val="0"/>
      <w:ind w:left="425"/>
      <w:jc w:val="both"/>
    </w:pPr>
    <w:rPr>
      <w:rFonts w:ascii="Calibri" w:eastAsia="宋体" w:hAnsi="Calibri" w:cs="Times New Roman"/>
      <w:sz w:val="21"/>
      <w:lang w:val="en-US" w:eastAsia="zh-CN" w:bidi="ar-SA"/>
    </w:rPr>
  </w:style>
  <w:style w:type="paragraph" w:customStyle="1" w:styleId="TOC10">
    <w:name w:val="TOC 标题1"/>
    <w:next w:val="Normal"/>
    <w:qFormat/>
    <w:pPr>
      <w:wordWrap w:val="0"/>
    </w:pPr>
    <w:rPr>
      <w:rFonts w:ascii="Calibri" w:eastAsia="宋体" w:hAnsi="Calibri" w:cs="Times New Roman"/>
      <w:sz w:val="32"/>
      <w:lang w:val="en-US" w:eastAsia="zh-CN" w:bidi="ar-SA"/>
    </w:rPr>
  </w:style>
  <w:style w:type="paragraph" w:customStyle="1" w:styleId="TOCHeading5">
    <w:name w:val="TOC Heading5"/>
    <w:next w:val="Normal"/>
    <w:qFormat/>
    <w:pPr>
      <w:wordWrap w:val="0"/>
    </w:pPr>
    <w:rPr>
      <w:rFonts w:ascii="Calibri" w:eastAsia="宋体" w:hAnsi="Calibri" w:cs="Times New Roman"/>
      <w:sz w:val="32"/>
      <w:lang w:val="en-US" w:eastAsia="zh-CN" w:bidi="ar-SA"/>
    </w:rPr>
  </w:style>
  <w:style w:type="paragraph" w:customStyle="1" w:styleId="toc313">
    <w:name w:val="toc 313"/>
    <w:next w:val="Normal"/>
    <w:qFormat/>
    <w:pPr>
      <w:wordWrap w:val="0"/>
      <w:ind w:left="850"/>
      <w:jc w:val="both"/>
    </w:pPr>
    <w:rPr>
      <w:rFonts w:ascii="Calibri" w:eastAsia="宋体" w:hAnsi="Calibri" w:cs="Times New Roman"/>
      <w:sz w:val="21"/>
      <w:lang w:val="en-US" w:eastAsia="zh-CN" w:bidi="ar-SA"/>
    </w:rPr>
  </w:style>
  <w:style w:type="paragraph" w:customStyle="1" w:styleId="toc716">
    <w:name w:val="toc 716"/>
    <w:next w:val="Normal"/>
    <w:qFormat/>
    <w:pPr>
      <w:wordWrap w:val="0"/>
      <w:ind w:left="2550"/>
      <w:jc w:val="both"/>
    </w:pPr>
    <w:rPr>
      <w:rFonts w:ascii="Calibri" w:eastAsia="宋体" w:hAnsi="Calibri" w:cs="Times New Roman"/>
      <w:sz w:val="21"/>
      <w:lang w:val="en-US" w:eastAsia="zh-CN" w:bidi="ar-SA"/>
    </w:rPr>
  </w:style>
  <w:style w:type="paragraph" w:customStyle="1" w:styleId="xl115">
    <w:name w:val="xl115"/>
    <w:basedOn w:val="Normal"/>
    <w:next w:val="toc712"/>
    <w:qFormat/>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Normal"/>
    <w:qFormat/>
    <w:pPr>
      <w:wordWrap w:val="0"/>
      <w:ind w:left="2550"/>
      <w:jc w:val="both"/>
    </w:pPr>
    <w:rPr>
      <w:rFonts w:ascii="Calibri" w:eastAsia="宋体" w:hAnsi="Calibri" w:cs="Times New Roman"/>
      <w:sz w:val="21"/>
      <w:lang w:val="en-US" w:eastAsia="zh-CN" w:bidi="ar-SA"/>
    </w:rPr>
  </w:style>
  <w:style w:type="paragraph" w:customStyle="1" w:styleId="toc64">
    <w:name w:val="toc 64"/>
    <w:next w:val="Normal"/>
    <w:qFormat/>
    <w:pPr>
      <w:wordWrap w:val="0"/>
      <w:ind w:left="2125"/>
      <w:jc w:val="both"/>
    </w:pPr>
    <w:rPr>
      <w:rFonts w:ascii="Calibri" w:eastAsia="宋体" w:hAnsi="Calibri" w:cs="Times New Roman"/>
      <w:sz w:val="21"/>
      <w:lang w:val="en-US" w:eastAsia="zh-CN" w:bidi="ar-SA"/>
    </w:rPr>
  </w:style>
  <w:style w:type="paragraph" w:customStyle="1" w:styleId="toc24">
    <w:name w:val="toc 24"/>
    <w:next w:val="Normal"/>
    <w:qFormat/>
    <w:pPr>
      <w:wordWrap w:val="0"/>
      <w:ind w:left="425"/>
      <w:jc w:val="both"/>
    </w:pPr>
    <w:rPr>
      <w:rFonts w:ascii="Calibri" w:eastAsia="宋体" w:hAnsi="Calibri" w:cs="Times New Roman"/>
      <w:sz w:val="21"/>
      <w:lang w:val="en-US" w:eastAsia="zh-CN" w:bidi="ar-SA"/>
    </w:rPr>
  </w:style>
  <w:style w:type="paragraph" w:customStyle="1" w:styleId="toc54">
    <w:name w:val="toc 54"/>
    <w:next w:val="Normal"/>
    <w:qFormat/>
    <w:pPr>
      <w:wordWrap w:val="0"/>
      <w:ind w:left="1700"/>
      <w:jc w:val="both"/>
    </w:pPr>
    <w:rPr>
      <w:rFonts w:ascii="Calibri" w:eastAsia="宋体" w:hAnsi="Calibri" w:cs="Times New Roman"/>
      <w:sz w:val="21"/>
      <w:lang w:val="en-US" w:eastAsia="zh-CN" w:bidi="ar-SA"/>
    </w:rPr>
  </w:style>
  <w:style w:type="paragraph" w:customStyle="1" w:styleId="xl93">
    <w:name w:val="xl93"/>
    <w:basedOn w:val="Normal"/>
    <w:next w:val="toc112"/>
    <w:qFormat/>
    <w:pPr>
      <w:widowControl/>
      <w:shd w:val="clear" w:color="000000" w:fill="FFFFFF"/>
      <w:spacing w:before="280" w:after="280"/>
      <w:jc w:val="center"/>
    </w:pPr>
    <w:rPr>
      <w:rFonts w:ascii="宋体" w:hAnsi="Calibri"/>
      <w:kern w:val="0"/>
      <w:sz w:val="20"/>
      <w:szCs w:val="20"/>
    </w:rPr>
  </w:style>
  <w:style w:type="paragraph" w:customStyle="1" w:styleId="toc112">
    <w:name w:val="toc 112"/>
    <w:next w:val="Normal"/>
    <w:qFormat/>
    <w:pPr>
      <w:wordWrap w:val="0"/>
      <w:jc w:val="both"/>
    </w:pPr>
    <w:rPr>
      <w:rFonts w:ascii="Calibri" w:eastAsia="宋体" w:hAnsi="Calibri" w:cs="Times New Roman"/>
      <w:sz w:val="21"/>
      <w:lang w:val="en-US" w:eastAsia="zh-CN" w:bidi="ar-SA"/>
    </w:rPr>
  </w:style>
  <w:style w:type="paragraph" w:customStyle="1" w:styleId="xl96">
    <w:name w:val="xl96"/>
    <w:basedOn w:val="Normal"/>
    <w:next w:val="toc514"/>
    <w:qFormat/>
    <w:pPr>
      <w:widowControl/>
      <w:shd w:val="clear" w:color="000000" w:fill="FFFFFF"/>
      <w:spacing w:before="280" w:after="280"/>
      <w:jc w:val="center"/>
    </w:pPr>
    <w:rPr>
      <w:rFonts w:ascii="宋体" w:hAnsi="Calibri"/>
      <w:kern w:val="0"/>
      <w:sz w:val="20"/>
      <w:szCs w:val="20"/>
    </w:rPr>
  </w:style>
  <w:style w:type="paragraph" w:customStyle="1" w:styleId="xl106">
    <w:name w:val="xl106"/>
    <w:basedOn w:val="Normal"/>
    <w:next w:val="toc813"/>
    <w:qFormat/>
    <w:pPr>
      <w:widowControl/>
      <w:shd w:val="clear" w:color="000000" w:fill="FFFFFF"/>
      <w:spacing w:before="280" w:after="280"/>
    </w:pPr>
    <w:rPr>
      <w:rFonts w:ascii="宋体" w:hAnsi="Calibri"/>
      <w:kern w:val="0"/>
      <w:sz w:val="20"/>
      <w:szCs w:val="20"/>
    </w:rPr>
  </w:style>
  <w:style w:type="paragraph" w:customStyle="1" w:styleId="toc35">
    <w:name w:val="toc 35"/>
    <w:next w:val="Normal"/>
    <w:qFormat/>
    <w:pPr>
      <w:wordWrap w:val="0"/>
      <w:ind w:left="850"/>
      <w:jc w:val="both"/>
    </w:pPr>
    <w:rPr>
      <w:rFonts w:ascii="Calibri" w:eastAsia="宋体" w:hAnsi="Calibri" w:cs="Times New Roman"/>
      <w:sz w:val="21"/>
      <w:lang w:val="en-US" w:eastAsia="zh-CN" w:bidi="ar-SA"/>
    </w:rPr>
  </w:style>
  <w:style w:type="paragraph" w:customStyle="1" w:styleId="TOCHeading14">
    <w:name w:val="TOC Heading14"/>
    <w:next w:val="Normal"/>
    <w:qFormat/>
    <w:pPr>
      <w:wordWrap w:val="0"/>
    </w:pPr>
    <w:rPr>
      <w:rFonts w:ascii="Calibri" w:eastAsia="宋体" w:hAnsi="Calibri" w:cs="Times New Roman"/>
      <w:sz w:val="32"/>
      <w:lang w:val="en-US" w:eastAsia="zh-CN" w:bidi="ar-SA"/>
    </w:rPr>
  </w:style>
  <w:style w:type="paragraph" w:customStyle="1" w:styleId="CharCharCharCharCharCharChar1">
    <w:name w:val="Char Char Char Char Char Char Char1"/>
    <w:basedOn w:val="Normal"/>
    <w:next w:val="toc67"/>
    <w:qFormat/>
    <w:pPr>
      <w:widowControl/>
      <w:spacing w:after="160" w:line="240" w:lineRule="exact"/>
    </w:pPr>
    <w:rPr>
      <w:rFonts w:hAnsi="Calibri"/>
      <w:kern w:val="0"/>
      <w:szCs w:val="20"/>
    </w:rPr>
  </w:style>
  <w:style w:type="paragraph" w:customStyle="1" w:styleId="toc67">
    <w:name w:val="toc 67"/>
    <w:next w:val="Normal"/>
    <w:qFormat/>
    <w:pPr>
      <w:wordWrap w:val="0"/>
      <w:ind w:left="2125"/>
      <w:jc w:val="both"/>
    </w:pPr>
    <w:rPr>
      <w:rFonts w:ascii="Calibri" w:eastAsia="宋体" w:hAnsi="Calibri" w:cs="Times New Roman"/>
      <w:sz w:val="21"/>
      <w:lang w:val="en-US" w:eastAsia="zh-CN" w:bidi="ar-SA"/>
    </w:rPr>
  </w:style>
  <w:style w:type="paragraph" w:customStyle="1" w:styleId="40">
    <w:name w:val="列出段落4"/>
    <w:basedOn w:val="Normal"/>
    <w:next w:val="TOCHeading9"/>
    <w:qFormat/>
    <w:pPr>
      <w:ind w:firstLine="420"/>
    </w:pPr>
    <w:rPr>
      <w:rFonts w:hAnsi="Calibri"/>
      <w:kern w:val="0"/>
      <w:szCs w:val="20"/>
    </w:rPr>
  </w:style>
  <w:style w:type="paragraph" w:customStyle="1" w:styleId="TOCHeading9">
    <w:name w:val="TOC Heading9"/>
    <w:next w:val="Normal"/>
    <w:qFormat/>
    <w:pPr>
      <w:wordWrap w:val="0"/>
    </w:pPr>
    <w:rPr>
      <w:rFonts w:ascii="Calibri" w:eastAsia="宋体" w:hAnsi="Calibri" w:cs="Times New Roman"/>
      <w:sz w:val="32"/>
      <w:lang w:val="en-US" w:eastAsia="zh-CN" w:bidi="ar-SA"/>
    </w:rPr>
  </w:style>
  <w:style w:type="paragraph" w:customStyle="1" w:styleId="xl71">
    <w:name w:val="xl71"/>
    <w:basedOn w:val="Normal"/>
    <w:next w:val="toc115"/>
    <w:qFormat/>
    <w:pPr>
      <w:widowControl/>
      <w:shd w:val="clear" w:color="000000" w:fill="FFFFFF"/>
      <w:spacing w:before="280" w:after="280"/>
    </w:pPr>
    <w:rPr>
      <w:rFonts w:ascii="宋体" w:hAnsi="Calibri"/>
      <w:kern w:val="0"/>
      <w:sz w:val="24"/>
      <w:szCs w:val="20"/>
    </w:rPr>
  </w:style>
  <w:style w:type="paragraph" w:customStyle="1" w:styleId="toc115">
    <w:name w:val="toc 115"/>
    <w:next w:val="Normal"/>
    <w:qFormat/>
    <w:pPr>
      <w:wordWrap w:val="0"/>
      <w:jc w:val="both"/>
    </w:pPr>
    <w:rPr>
      <w:rFonts w:ascii="Calibri" w:eastAsia="宋体" w:hAnsi="Calibri" w:cs="Times New Roman"/>
      <w:sz w:val="21"/>
      <w:lang w:val="en-US" w:eastAsia="zh-CN" w:bidi="ar-SA"/>
    </w:rPr>
  </w:style>
  <w:style w:type="paragraph" w:customStyle="1" w:styleId="toc51">
    <w:name w:val="toc 51"/>
    <w:next w:val="Normal"/>
    <w:qFormat/>
    <w:pPr>
      <w:wordWrap w:val="0"/>
      <w:ind w:left="1700"/>
      <w:jc w:val="both"/>
    </w:pPr>
    <w:rPr>
      <w:rFonts w:ascii="Calibri" w:eastAsia="宋体" w:hAnsi="Calibri" w:cs="Times New Roman"/>
      <w:sz w:val="21"/>
      <w:lang w:val="en-US" w:eastAsia="zh-CN" w:bidi="ar-SA"/>
    </w:rPr>
  </w:style>
  <w:style w:type="paragraph" w:customStyle="1" w:styleId="toc47">
    <w:name w:val="toc 47"/>
    <w:next w:val="Normal"/>
    <w:qFormat/>
    <w:pPr>
      <w:wordWrap w:val="0"/>
      <w:ind w:left="1275"/>
      <w:jc w:val="both"/>
    </w:pPr>
    <w:rPr>
      <w:rFonts w:ascii="Calibri" w:eastAsia="宋体" w:hAnsi="Calibri" w:cs="Times New Roman"/>
      <w:sz w:val="21"/>
      <w:lang w:val="en-US" w:eastAsia="zh-CN" w:bidi="ar-SA"/>
    </w:rPr>
  </w:style>
  <w:style w:type="paragraph" w:customStyle="1" w:styleId="xl108">
    <w:name w:val="xl108"/>
    <w:basedOn w:val="Normal"/>
    <w:next w:val="toc18"/>
    <w:qFormat/>
    <w:pPr>
      <w:widowControl/>
      <w:shd w:val="clear" w:color="000000" w:fill="FFFFFF"/>
      <w:spacing w:before="280" w:after="280"/>
    </w:pPr>
    <w:rPr>
      <w:rFonts w:ascii="宋体" w:hAnsi="Calibri"/>
      <w:kern w:val="0"/>
      <w:sz w:val="18"/>
      <w:szCs w:val="20"/>
    </w:rPr>
  </w:style>
  <w:style w:type="paragraph" w:customStyle="1" w:styleId="toc18">
    <w:name w:val="toc 18"/>
    <w:next w:val="Normal"/>
    <w:qFormat/>
    <w:pPr>
      <w:wordWrap w:val="0"/>
      <w:jc w:val="both"/>
    </w:pPr>
    <w:rPr>
      <w:rFonts w:ascii="Calibri" w:eastAsia="宋体" w:hAnsi="Calibri" w:cs="Times New Roman"/>
      <w:sz w:val="21"/>
      <w:lang w:val="en-US" w:eastAsia="zh-CN" w:bidi="ar-SA"/>
    </w:rPr>
  </w:style>
  <w:style w:type="paragraph" w:customStyle="1" w:styleId="TOCHeading7">
    <w:name w:val="TOC Heading7"/>
    <w:next w:val="Normal"/>
    <w:qFormat/>
    <w:pPr>
      <w:wordWrap w:val="0"/>
    </w:pPr>
    <w:rPr>
      <w:rFonts w:ascii="Calibri" w:eastAsia="宋体" w:hAnsi="Calibri" w:cs="Times New Roman"/>
      <w:sz w:val="32"/>
      <w:lang w:val="en-US" w:eastAsia="zh-CN" w:bidi="ar-SA"/>
    </w:rPr>
  </w:style>
  <w:style w:type="character" w:customStyle="1" w:styleId="Char21">
    <w:name w:val="副标题 Char"/>
    <w:basedOn w:val="DefaultParagraphFont"/>
    <w:link w:val="Subtitle"/>
    <w:qFormat/>
    <w:rPr>
      <w:rFonts w:ascii="Calibri" w:hAnsi="Calibri"/>
      <w:sz w:val="24"/>
    </w:rPr>
  </w:style>
  <w:style w:type="paragraph" w:customStyle="1" w:styleId="71">
    <w:name w:val="目录 71"/>
    <w:next w:val="Normal"/>
    <w:qFormat/>
    <w:pPr>
      <w:wordWrap w:val="0"/>
      <w:ind w:left="2550"/>
      <w:jc w:val="both"/>
    </w:pPr>
    <w:rPr>
      <w:rFonts w:ascii="Calibri" w:eastAsia="宋体" w:hAnsi="Calibri" w:cs="Times New Roman"/>
      <w:sz w:val="21"/>
      <w:lang w:val="en-US" w:eastAsia="zh-CN" w:bidi="ar-SA"/>
    </w:rPr>
  </w:style>
  <w:style w:type="paragraph" w:customStyle="1" w:styleId="toc413">
    <w:name w:val="toc 413"/>
    <w:next w:val="Normal"/>
    <w:qFormat/>
    <w:pPr>
      <w:wordWrap w:val="0"/>
      <w:ind w:left="1275"/>
      <w:jc w:val="both"/>
    </w:pPr>
    <w:rPr>
      <w:rFonts w:ascii="Calibri" w:eastAsia="宋体" w:hAnsi="Calibri" w:cs="Times New Roman"/>
      <w:sz w:val="21"/>
      <w:lang w:val="en-US" w:eastAsia="zh-CN" w:bidi="ar-SA"/>
    </w:rPr>
  </w:style>
  <w:style w:type="paragraph" w:customStyle="1" w:styleId="toc85">
    <w:name w:val="toc 85"/>
    <w:next w:val="Normal"/>
    <w:qFormat/>
    <w:pPr>
      <w:wordWrap w:val="0"/>
      <w:ind w:left="2975"/>
      <w:jc w:val="both"/>
    </w:pPr>
    <w:rPr>
      <w:rFonts w:ascii="Calibri" w:eastAsia="宋体" w:hAnsi="Calibri" w:cs="Times New Roman"/>
      <w:sz w:val="21"/>
      <w:lang w:val="en-US" w:eastAsia="zh-CN" w:bidi="ar-SA"/>
    </w:rPr>
  </w:style>
  <w:style w:type="paragraph" w:customStyle="1" w:styleId="60">
    <w:name w:val="列出段落6"/>
    <w:basedOn w:val="Normal"/>
    <w:next w:val="toc86"/>
    <w:qFormat/>
    <w:pPr>
      <w:ind w:firstLine="420"/>
    </w:pPr>
    <w:rPr>
      <w:rFonts w:hAnsi="Calibri"/>
      <w:kern w:val="0"/>
      <w:szCs w:val="20"/>
    </w:rPr>
  </w:style>
  <w:style w:type="paragraph" w:customStyle="1" w:styleId="toc86">
    <w:name w:val="toc 86"/>
    <w:next w:val="Normal"/>
    <w:qFormat/>
    <w:pPr>
      <w:wordWrap w:val="0"/>
      <w:ind w:left="2975"/>
      <w:jc w:val="both"/>
    </w:pPr>
    <w:rPr>
      <w:rFonts w:ascii="Calibri" w:eastAsia="宋体" w:hAnsi="Calibri" w:cs="Times New Roman"/>
      <w:sz w:val="21"/>
      <w:lang w:val="en-US" w:eastAsia="zh-CN" w:bidi="ar-SA"/>
    </w:rPr>
  </w:style>
  <w:style w:type="paragraph" w:customStyle="1" w:styleId="xl80">
    <w:name w:val="xl80"/>
    <w:basedOn w:val="Normal"/>
    <w:next w:val="toc49"/>
    <w:qFormat/>
    <w:pPr>
      <w:widowControl/>
      <w:shd w:val="clear" w:color="000000" w:fill="FFFFFF"/>
      <w:spacing w:before="280" w:after="280"/>
      <w:jc w:val="center"/>
    </w:pPr>
    <w:rPr>
      <w:rFonts w:ascii="宋体" w:hAnsi="Calibri"/>
      <w:b/>
      <w:kern w:val="0"/>
      <w:sz w:val="20"/>
      <w:szCs w:val="20"/>
    </w:rPr>
  </w:style>
  <w:style w:type="paragraph" w:customStyle="1" w:styleId="toc49">
    <w:name w:val="toc 49"/>
    <w:next w:val="Normal"/>
    <w:qFormat/>
    <w:pPr>
      <w:wordWrap w:val="0"/>
      <w:ind w:left="1275"/>
      <w:jc w:val="both"/>
    </w:pPr>
    <w:rPr>
      <w:rFonts w:ascii="Calibri" w:eastAsia="宋体" w:hAnsi="Calibri" w:cs="Times New Roman"/>
      <w:sz w:val="21"/>
      <w:lang w:val="en-US" w:eastAsia="zh-CN" w:bidi="ar-SA"/>
    </w:rPr>
  </w:style>
  <w:style w:type="paragraph" w:customStyle="1" w:styleId="CharCharCharChar1">
    <w:name w:val="Char Char Char Char1"/>
    <w:basedOn w:val="Normal"/>
    <w:next w:val="toc713"/>
    <w:qFormat/>
    <w:pPr>
      <w:widowControl/>
      <w:spacing w:after="160" w:line="240" w:lineRule="exact"/>
    </w:pPr>
    <w:rPr>
      <w:rFonts w:ascii="Verdana" w:eastAsia="仿宋_GB2312" w:hAnsi="Calibri"/>
      <w:kern w:val="0"/>
      <w:sz w:val="24"/>
      <w:szCs w:val="20"/>
    </w:rPr>
  </w:style>
  <w:style w:type="paragraph" w:customStyle="1" w:styleId="toc713">
    <w:name w:val="toc 713"/>
    <w:next w:val="Normal"/>
    <w:qFormat/>
    <w:pPr>
      <w:wordWrap w:val="0"/>
      <w:ind w:left="2550"/>
      <w:jc w:val="both"/>
    </w:pPr>
    <w:rPr>
      <w:rFonts w:ascii="Calibri" w:eastAsia="宋体" w:hAnsi="Calibri" w:cs="Times New Roman"/>
      <w:sz w:val="21"/>
      <w:lang w:val="en-US" w:eastAsia="zh-CN" w:bidi="ar-SA"/>
    </w:rPr>
  </w:style>
  <w:style w:type="paragraph" w:customStyle="1" w:styleId="xl102">
    <w:name w:val="xl102"/>
    <w:basedOn w:val="Normal"/>
    <w:next w:val="toc17"/>
    <w:qFormat/>
    <w:pPr>
      <w:widowControl/>
      <w:shd w:val="clear" w:color="000000" w:fill="FFFFFF"/>
      <w:spacing w:before="280" w:after="280"/>
      <w:jc w:val="right"/>
    </w:pPr>
    <w:rPr>
      <w:rFonts w:ascii="宋体" w:hAnsi="Calibri"/>
      <w:kern w:val="0"/>
      <w:sz w:val="20"/>
      <w:szCs w:val="20"/>
    </w:rPr>
  </w:style>
  <w:style w:type="paragraph" w:customStyle="1" w:styleId="toc17">
    <w:name w:val="toc 17"/>
    <w:next w:val="Normal"/>
    <w:qFormat/>
    <w:pPr>
      <w:wordWrap w:val="0"/>
      <w:jc w:val="both"/>
    </w:pPr>
    <w:rPr>
      <w:rFonts w:ascii="Calibri" w:eastAsia="宋体" w:hAnsi="Calibri" w:cs="Times New Roman"/>
      <w:sz w:val="21"/>
      <w:lang w:val="en-US" w:eastAsia="zh-CN" w:bidi="ar-SA"/>
    </w:rPr>
  </w:style>
  <w:style w:type="paragraph" w:customStyle="1" w:styleId="toc46">
    <w:name w:val="toc 46"/>
    <w:next w:val="Normal"/>
    <w:qFormat/>
    <w:pPr>
      <w:wordWrap w:val="0"/>
      <w:ind w:left="1275"/>
      <w:jc w:val="both"/>
    </w:pPr>
    <w:rPr>
      <w:rFonts w:ascii="Calibri" w:eastAsia="宋体" w:hAnsi="Calibri" w:cs="Times New Roman"/>
      <w:sz w:val="21"/>
      <w:lang w:val="en-US" w:eastAsia="zh-CN" w:bidi="ar-SA"/>
    </w:rPr>
  </w:style>
  <w:style w:type="paragraph" w:customStyle="1" w:styleId="toc311">
    <w:name w:val="toc 311"/>
    <w:next w:val="Normal"/>
    <w:qFormat/>
    <w:pPr>
      <w:wordWrap w:val="0"/>
      <w:ind w:left="850"/>
      <w:jc w:val="both"/>
    </w:pPr>
    <w:rPr>
      <w:rFonts w:ascii="Calibri" w:eastAsia="宋体" w:hAnsi="Calibri" w:cs="Times New Roman"/>
      <w:sz w:val="21"/>
      <w:lang w:val="en-US" w:eastAsia="zh-CN" w:bidi="ar-SA"/>
    </w:rPr>
  </w:style>
  <w:style w:type="paragraph" w:customStyle="1" w:styleId="xl65">
    <w:name w:val="xl65"/>
    <w:basedOn w:val="Normal"/>
    <w:next w:val="toc411"/>
    <w:qFormat/>
    <w:pPr>
      <w:widowControl/>
      <w:shd w:val="clear" w:color="000000" w:fill="FFFFFF"/>
      <w:spacing w:before="280" w:after="280"/>
      <w:jc w:val="center"/>
    </w:pPr>
    <w:rPr>
      <w:rFonts w:ascii="宋体" w:hAnsi="Calibri"/>
      <w:kern w:val="0"/>
      <w:sz w:val="20"/>
      <w:szCs w:val="20"/>
    </w:rPr>
  </w:style>
  <w:style w:type="paragraph" w:customStyle="1" w:styleId="toc94">
    <w:name w:val="toc 94"/>
    <w:next w:val="Normal"/>
    <w:qFormat/>
    <w:pPr>
      <w:wordWrap w:val="0"/>
      <w:ind w:left="3400"/>
      <w:jc w:val="both"/>
    </w:pPr>
    <w:rPr>
      <w:rFonts w:ascii="Calibri" w:eastAsia="宋体" w:hAnsi="Calibri" w:cs="Times New Roman"/>
      <w:sz w:val="21"/>
      <w:lang w:val="en-US" w:eastAsia="zh-CN" w:bidi="ar-SA"/>
    </w:rPr>
  </w:style>
  <w:style w:type="paragraph" w:customStyle="1" w:styleId="toc55">
    <w:name w:val="toc 55"/>
    <w:next w:val="Normal"/>
    <w:qFormat/>
    <w:pPr>
      <w:wordWrap w:val="0"/>
      <w:ind w:left="1700"/>
      <w:jc w:val="both"/>
    </w:pPr>
    <w:rPr>
      <w:rFonts w:ascii="Calibri" w:eastAsia="宋体" w:hAnsi="Calibri" w:cs="Times New Roman"/>
      <w:sz w:val="21"/>
      <w:lang w:val="en-US" w:eastAsia="zh-CN" w:bidi="ar-SA"/>
    </w:rPr>
  </w:style>
  <w:style w:type="paragraph" w:customStyle="1" w:styleId="toc812">
    <w:name w:val="toc 812"/>
    <w:next w:val="Normal"/>
    <w:qFormat/>
    <w:pPr>
      <w:wordWrap w:val="0"/>
      <w:ind w:left="2975"/>
      <w:jc w:val="both"/>
    </w:pPr>
    <w:rPr>
      <w:rFonts w:ascii="Calibri" w:eastAsia="宋体" w:hAnsi="Calibri" w:cs="Times New Roman"/>
      <w:sz w:val="21"/>
      <w:lang w:val="en-US" w:eastAsia="zh-CN" w:bidi="ar-SA"/>
    </w:rPr>
  </w:style>
  <w:style w:type="paragraph" w:customStyle="1" w:styleId="xl75">
    <w:name w:val="xl75"/>
    <w:basedOn w:val="Normal"/>
    <w:next w:val="toc914"/>
    <w:qFormat/>
    <w:pPr>
      <w:widowControl/>
      <w:shd w:val="clear" w:color="000000" w:fill="FFFFFF"/>
      <w:spacing w:before="280" w:after="280"/>
    </w:pPr>
    <w:rPr>
      <w:rFonts w:ascii="宋体" w:hAnsi="Calibri"/>
      <w:kern w:val="0"/>
      <w:sz w:val="20"/>
      <w:szCs w:val="20"/>
    </w:rPr>
  </w:style>
  <w:style w:type="paragraph" w:customStyle="1" w:styleId="toc914">
    <w:name w:val="toc 914"/>
    <w:next w:val="Normal"/>
    <w:qFormat/>
    <w:pPr>
      <w:wordWrap w:val="0"/>
      <w:ind w:left="3400"/>
      <w:jc w:val="both"/>
    </w:pPr>
    <w:rPr>
      <w:rFonts w:ascii="Calibri" w:eastAsia="宋体" w:hAnsi="Calibri" w:cs="Times New Roman"/>
      <w:sz w:val="21"/>
      <w:lang w:val="en-US" w:eastAsia="zh-CN" w:bidi="ar-SA"/>
    </w:rPr>
  </w:style>
  <w:style w:type="paragraph" w:customStyle="1" w:styleId="toc19">
    <w:name w:val="toc 19"/>
    <w:next w:val="Normal"/>
    <w:qFormat/>
    <w:pPr>
      <w:wordWrap w:val="0"/>
      <w:jc w:val="both"/>
    </w:pPr>
    <w:rPr>
      <w:rFonts w:ascii="Calibri" w:eastAsia="宋体" w:hAnsi="Calibri" w:cs="Times New Roman"/>
      <w:sz w:val="21"/>
      <w:lang w:val="en-US" w:eastAsia="zh-CN" w:bidi="ar-SA"/>
    </w:rPr>
  </w:style>
  <w:style w:type="paragraph" w:customStyle="1" w:styleId="TOCHeading6">
    <w:name w:val="TOC Heading6"/>
    <w:next w:val="Normal"/>
    <w:qFormat/>
    <w:pPr>
      <w:wordWrap w:val="0"/>
    </w:pPr>
    <w:rPr>
      <w:rFonts w:ascii="Calibri" w:eastAsia="宋体" w:hAnsi="Calibri" w:cs="Times New Roman"/>
      <w:sz w:val="32"/>
      <w:lang w:val="en-US" w:eastAsia="zh-CN" w:bidi="ar-SA"/>
    </w:rPr>
  </w:style>
  <w:style w:type="paragraph" w:customStyle="1" w:styleId="toc52">
    <w:name w:val="toc 52"/>
    <w:next w:val="Normal"/>
    <w:qFormat/>
    <w:pPr>
      <w:wordWrap w:val="0"/>
      <w:ind w:left="1700"/>
      <w:jc w:val="both"/>
    </w:pPr>
    <w:rPr>
      <w:rFonts w:ascii="Calibri" w:eastAsia="宋体" w:hAnsi="Calibri" w:cs="Times New Roman"/>
      <w:sz w:val="21"/>
      <w:lang w:val="en-US" w:eastAsia="zh-CN" w:bidi="ar-SA"/>
    </w:rPr>
  </w:style>
  <w:style w:type="paragraph" w:customStyle="1" w:styleId="toc36">
    <w:name w:val="toc 36"/>
    <w:next w:val="Normal"/>
    <w:qFormat/>
    <w:pPr>
      <w:wordWrap w:val="0"/>
      <w:ind w:left="850"/>
      <w:jc w:val="both"/>
    </w:pPr>
    <w:rPr>
      <w:rFonts w:ascii="Calibri" w:eastAsia="宋体" w:hAnsi="Calibri" w:cs="Times New Roman"/>
      <w:sz w:val="21"/>
      <w:lang w:val="en-US" w:eastAsia="zh-CN" w:bidi="ar-SA"/>
    </w:rPr>
  </w:style>
  <w:style w:type="paragraph" w:customStyle="1" w:styleId="toc82">
    <w:name w:val="toc 82"/>
    <w:next w:val="Normal"/>
    <w:qFormat/>
    <w:pPr>
      <w:wordWrap w:val="0"/>
      <w:ind w:left="2975"/>
      <w:jc w:val="both"/>
    </w:pPr>
    <w:rPr>
      <w:rFonts w:ascii="Calibri" w:eastAsia="宋体" w:hAnsi="Calibri" w:cs="Times New Roman"/>
      <w:sz w:val="21"/>
      <w:lang w:val="en-US" w:eastAsia="zh-CN" w:bidi="ar-SA"/>
    </w:rPr>
  </w:style>
  <w:style w:type="paragraph" w:customStyle="1" w:styleId="xl104">
    <w:name w:val="xl104"/>
    <w:basedOn w:val="Normal"/>
    <w:next w:val="toc210"/>
    <w:qFormat/>
    <w:pPr>
      <w:widowControl/>
      <w:shd w:val="clear" w:color="000000" w:fill="FFFFFF"/>
      <w:spacing w:before="280" w:after="280"/>
      <w:jc w:val="center"/>
    </w:pPr>
    <w:rPr>
      <w:rFonts w:ascii="宋体" w:hAnsi="Calibri"/>
      <w:kern w:val="0"/>
      <w:sz w:val="20"/>
      <w:szCs w:val="20"/>
    </w:rPr>
  </w:style>
  <w:style w:type="paragraph" w:customStyle="1" w:styleId="toc210">
    <w:name w:val="toc 210"/>
    <w:next w:val="Normal"/>
    <w:qFormat/>
    <w:pPr>
      <w:wordWrap w:val="0"/>
      <w:ind w:left="425"/>
      <w:jc w:val="both"/>
    </w:pPr>
    <w:rPr>
      <w:rFonts w:ascii="Calibri" w:eastAsia="宋体" w:hAnsi="Calibri" w:cs="Times New Roman"/>
      <w:sz w:val="21"/>
      <w:lang w:val="en-US" w:eastAsia="zh-CN" w:bidi="ar-SA"/>
    </w:rPr>
  </w:style>
  <w:style w:type="paragraph" w:customStyle="1" w:styleId="toc110">
    <w:name w:val="toc 110"/>
    <w:next w:val="Normal"/>
    <w:qFormat/>
    <w:pPr>
      <w:wordWrap w:val="0"/>
      <w:jc w:val="both"/>
    </w:pPr>
    <w:rPr>
      <w:rFonts w:ascii="Calibri" w:eastAsia="宋体" w:hAnsi="Calibri" w:cs="Times New Roman"/>
      <w:sz w:val="21"/>
      <w:lang w:val="en-US" w:eastAsia="zh-CN" w:bidi="ar-SA"/>
    </w:rPr>
  </w:style>
  <w:style w:type="paragraph" w:customStyle="1" w:styleId="toc66">
    <w:name w:val="toc 66"/>
    <w:next w:val="Normal"/>
    <w:qFormat/>
    <w:pPr>
      <w:wordWrap w:val="0"/>
      <w:ind w:left="2125"/>
      <w:jc w:val="both"/>
    </w:pPr>
    <w:rPr>
      <w:rFonts w:ascii="Calibri" w:eastAsia="宋体" w:hAnsi="Calibri" w:cs="Times New Roman"/>
      <w:sz w:val="21"/>
      <w:lang w:val="en-US" w:eastAsia="zh-CN" w:bidi="ar-SA"/>
    </w:rPr>
  </w:style>
  <w:style w:type="paragraph" w:customStyle="1" w:styleId="toc31">
    <w:name w:val="toc 31"/>
    <w:next w:val="Normal"/>
    <w:qFormat/>
    <w:pPr>
      <w:wordWrap w:val="0"/>
      <w:ind w:left="850"/>
      <w:jc w:val="both"/>
    </w:pPr>
    <w:rPr>
      <w:rFonts w:ascii="Calibri" w:eastAsia="宋体" w:hAnsi="Calibri" w:cs="Times New Roman"/>
      <w:sz w:val="21"/>
      <w:lang w:val="en-US" w:eastAsia="zh-CN" w:bidi="ar-SA"/>
    </w:rPr>
  </w:style>
  <w:style w:type="paragraph" w:customStyle="1" w:styleId="toc93">
    <w:name w:val="toc 93"/>
    <w:next w:val="Normal"/>
    <w:qFormat/>
    <w:pPr>
      <w:wordWrap w:val="0"/>
      <w:ind w:left="3400"/>
      <w:jc w:val="both"/>
    </w:pPr>
    <w:rPr>
      <w:rFonts w:ascii="Calibri" w:eastAsia="宋体" w:hAnsi="Calibri" w:cs="Times New Roman"/>
      <w:sz w:val="21"/>
      <w:lang w:val="en-US" w:eastAsia="zh-CN" w:bidi="ar-SA"/>
    </w:rPr>
  </w:style>
  <w:style w:type="paragraph" w:customStyle="1" w:styleId="toc614">
    <w:name w:val="toc 614"/>
    <w:next w:val="Normal"/>
    <w:qFormat/>
    <w:pPr>
      <w:wordWrap w:val="0"/>
      <w:ind w:left="2125"/>
      <w:jc w:val="both"/>
    </w:pPr>
    <w:rPr>
      <w:rFonts w:ascii="Calibri" w:eastAsia="宋体" w:hAnsi="Calibri" w:cs="Times New Roman"/>
      <w:sz w:val="21"/>
      <w:lang w:val="en-US" w:eastAsia="zh-CN" w:bidi="ar-SA"/>
    </w:rPr>
  </w:style>
  <w:style w:type="paragraph" w:customStyle="1" w:styleId="19">
    <w:name w:val="无间隔1"/>
    <w:next w:val="toc110"/>
    <w:qFormat/>
    <w:pPr>
      <w:widowControl w:val="0"/>
      <w:jc w:val="both"/>
    </w:pPr>
    <w:rPr>
      <w:rFonts w:ascii="Calibri" w:eastAsia="宋体" w:hAnsi="Calibri" w:cs="Times New Roman"/>
      <w:sz w:val="22"/>
      <w:lang w:val="en-US" w:eastAsia="zh-CN" w:bidi="ar-SA"/>
    </w:rPr>
  </w:style>
  <w:style w:type="paragraph" w:customStyle="1" w:styleId="410">
    <w:name w:val="目录 41"/>
    <w:next w:val="Normal"/>
    <w:qFormat/>
    <w:pPr>
      <w:wordWrap w:val="0"/>
      <w:ind w:left="1275"/>
      <w:jc w:val="both"/>
    </w:pPr>
    <w:rPr>
      <w:rFonts w:ascii="Calibri" w:eastAsia="宋体" w:hAnsi="Calibri" w:cs="Times New Roman"/>
      <w:sz w:val="21"/>
      <w:lang w:val="en-US" w:eastAsia="zh-CN" w:bidi="ar-SA"/>
    </w:rPr>
  </w:style>
  <w:style w:type="paragraph" w:customStyle="1" w:styleId="xl105">
    <w:name w:val="xl105"/>
    <w:basedOn w:val="Normal"/>
    <w:next w:val="toc615"/>
    <w:qFormat/>
    <w:pPr>
      <w:widowControl/>
      <w:shd w:val="clear" w:color="000000" w:fill="FFFFFF"/>
      <w:spacing w:before="280" w:after="280"/>
    </w:pPr>
    <w:rPr>
      <w:rFonts w:ascii="宋体" w:hAnsi="Calibri"/>
      <w:kern w:val="0"/>
      <w:sz w:val="18"/>
      <w:szCs w:val="20"/>
    </w:rPr>
  </w:style>
  <w:style w:type="paragraph" w:customStyle="1" w:styleId="toc615">
    <w:name w:val="toc 615"/>
    <w:next w:val="Normal"/>
    <w:qFormat/>
    <w:pPr>
      <w:wordWrap w:val="0"/>
      <w:ind w:left="2125"/>
      <w:jc w:val="both"/>
    </w:pPr>
    <w:rPr>
      <w:rFonts w:ascii="Calibri" w:eastAsia="宋体" w:hAnsi="Calibri" w:cs="Times New Roman"/>
      <w:sz w:val="21"/>
      <w:lang w:val="en-US" w:eastAsia="zh-CN" w:bidi="ar-SA"/>
    </w:rPr>
  </w:style>
  <w:style w:type="paragraph" w:customStyle="1" w:styleId="toc41">
    <w:name w:val="toc 41"/>
    <w:next w:val="Normal"/>
    <w:qFormat/>
    <w:pPr>
      <w:wordWrap w:val="0"/>
      <w:ind w:left="1275"/>
      <w:jc w:val="both"/>
    </w:pPr>
    <w:rPr>
      <w:rFonts w:ascii="Calibri" w:eastAsia="宋体" w:hAnsi="Calibri" w:cs="Times New Roman"/>
      <w:sz w:val="21"/>
      <w:lang w:val="en-US" w:eastAsia="zh-CN" w:bidi="ar-SA"/>
    </w:rPr>
  </w:style>
  <w:style w:type="paragraph" w:customStyle="1" w:styleId="toc81">
    <w:name w:val="toc 81"/>
    <w:next w:val="Normal"/>
    <w:qFormat/>
    <w:pPr>
      <w:wordWrap w:val="0"/>
      <w:ind w:left="2975"/>
      <w:jc w:val="both"/>
    </w:pPr>
    <w:rPr>
      <w:rFonts w:ascii="Calibri" w:eastAsia="宋体" w:hAnsi="Calibri" w:cs="Times New Roman"/>
      <w:sz w:val="21"/>
      <w:lang w:val="en-US" w:eastAsia="zh-CN" w:bidi="ar-SA"/>
    </w:rPr>
  </w:style>
  <w:style w:type="paragraph" w:customStyle="1" w:styleId="xl111">
    <w:name w:val="xl111"/>
    <w:basedOn w:val="Normal"/>
    <w:next w:val="toc88"/>
    <w:qFormat/>
    <w:pPr>
      <w:widowControl/>
      <w:shd w:val="clear" w:color="000000" w:fill="FFFFFF"/>
      <w:spacing w:before="280" w:after="280"/>
      <w:jc w:val="center"/>
    </w:pPr>
    <w:rPr>
      <w:rFonts w:ascii="宋体" w:hAnsi="Calibri"/>
      <w:b/>
      <w:kern w:val="0"/>
      <w:sz w:val="20"/>
      <w:szCs w:val="20"/>
    </w:rPr>
  </w:style>
  <w:style w:type="paragraph" w:customStyle="1" w:styleId="toc88">
    <w:name w:val="toc 88"/>
    <w:next w:val="Normal"/>
    <w:qFormat/>
    <w:pPr>
      <w:wordWrap w:val="0"/>
      <w:ind w:left="2975"/>
      <w:jc w:val="both"/>
    </w:pPr>
    <w:rPr>
      <w:rFonts w:ascii="Calibri" w:eastAsia="宋体" w:hAnsi="Calibri" w:cs="Times New Roman"/>
      <w:sz w:val="21"/>
      <w:lang w:val="en-US" w:eastAsia="zh-CN" w:bidi="ar-SA"/>
    </w:rPr>
  </w:style>
  <w:style w:type="paragraph" w:customStyle="1" w:styleId="toc84">
    <w:name w:val="toc 84"/>
    <w:next w:val="Normal"/>
    <w:qFormat/>
    <w:pPr>
      <w:wordWrap w:val="0"/>
      <w:ind w:left="2975"/>
      <w:jc w:val="both"/>
    </w:pPr>
    <w:rPr>
      <w:rFonts w:ascii="Calibri" w:eastAsia="宋体" w:hAnsi="Calibri" w:cs="Times New Roman"/>
      <w:sz w:val="21"/>
      <w:lang w:val="en-US" w:eastAsia="zh-CN" w:bidi="ar-SA"/>
    </w:rPr>
  </w:style>
  <w:style w:type="paragraph" w:customStyle="1" w:styleId="p0">
    <w:name w:val="p0"/>
    <w:basedOn w:val="Normal"/>
    <w:next w:val="toc69"/>
    <w:qFormat/>
    <w:pPr>
      <w:widowControl/>
      <w:spacing w:before="280" w:after="280"/>
    </w:pPr>
    <w:rPr>
      <w:rFonts w:ascii="宋体" w:hAnsi="Calibri"/>
      <w:kern w:val="0"/>
      <w:sz w:val="24"/>
      <w:szCs w:val="20"/>
    </w:rPr>
  </w:style>
  <w:style w:type="paragraph" w:customStyle="1" w:styleId="toc69">
    <w:name w:val="toc 69"/>
    <w:next w:val="Normal"/>
    <w:qFormat/>
    <w:pPr>
      <w:wordWrap w:val="0"/>
      <w:ind w:left="2125"/>
      <w:jc w:val="both"/>
    </w:pPr>
    <w:rPr>
      <w:rFonts w:ascii="Calibri" w:eastAsia="宋体" w:hAnsi="Calibri" w:cs="Times New Roman"/>
      <w:sz w:val="21"/>
      <w:lang w:val="en-US" w:eastAsia="zh-CN" w:bidi="ar-SA"/>
    </w:rPr>
  </w:style>
  <w:style w:type="paragraph" w:customStyle="1" w:styleId="111">
    <w:name w:val="列出段落11"/>
    <w:basedOn w:val="Normal"/>
    <w:next w:val="toc214"/>
    <w:qFormat/>
    <w:pPr>
      <w:widowControl/>
      <w:spacing w:line="360" w:lineRule="auto"/>
      <w:ind w:firstLine="420"/>
    </w:pPr>
    <w:rPr>
      <w:rFonts w:eastAsia="微软雅黑" w:hAnsi="Calibri"/>
      <w:kern w:val="0"/>
      <w:sz w:val="24"/>
      <w:szCs w:val="20"/>
    </w:rPr>
  </w:style>
  <w:style w:type="paragraph" w:customStyle="1" w:styleId="toc214">
    <w:name w:val="toc 214"/>
    <w:next w:val="Normal"/>
    <w:qFormat/>
    <w:pPr>
      <w:wordWrap w:val="0"/>
      <w:ind w:left="425"/>
      <w:jc w:val="both"/>
    </w:pPr>
    <w:rPr>
      <w:rFonts w:ascii="Calibri" w:eastAsia="宋体" w:hAnsi="Calibri" w:cs="Times New Roman"/>
      <w:sz w:val="21"/>
      <w:lang w:val="en-US" w:eastAsia="zh-CN" w:bidi="ar-SA"/>
    </w:rPr>
  </w:style>
  <w:style w:type="paragraph" w:customStyle="1" w:styleId="toc63">
    <w:name w:val="toc 63"/>
    <w:next w:val="Normal"/>
    <w:qFormat/>
    <w:pPr>
      <w:wordWrap w:val="0"/>
      <w:ind w:left="2125"/>
      <w:jc w:val="both"/>
    </w:pPr>
    <w:rPr>
      <w:rFonts w:ascii="Calibri" w:eastAsia="宋体" w:hAnsi="Calibri" w:cs="Times New Roman"/>
      <w:sz w:val="21"/>
      <w:lang w:val="en-US" w:eastAsia="zh-CN" w:bidi="ar-SA"/>
    </w:rPr>
  </w:style>
  <w:style w:type="paragraph" w:customStyle="1" w:styleId="xl91">
    <w:name w:val="xl91"/>
    <w:basedOn w:val="Normal"/>
    <w:next w:val="toc38"/>
    <w:qFormat/>
    <w:pPr>
      <w:widowControl/>
      <w:shd w:val="clear" w:color="000000" w:fill="FFFFFF"/>
      <w:spacing w:before="280" w:after="280"/>
    </w:pPr>
    <w:rPr>
      <w:rFonts w:ascii="宋体" w:hAnsi="Calibri"/>
      <w:kern w:val="0"/>
      <w:sz w:val="20"/>
      <w:szCs w:val="20"/>
    </w:rPr>
  </w:style>
  <w:style w:type="paragraph" w:customStyle="1" w:styleId="toc316">
    <w:name w:val="toc 316"/>
    <w:next w:val="Normal"/>
    <w:qFormat/>
    <w:pPr>
      <w:wordWrap w:val="0"/>
      <w:ind w:left="850"/>
      <w:jc w:val="both"/>
    </w:pPr>
    <w:rPr>
      <w:rFonts w:ascii="Calibri" w:eastAsia="宋体" w:hAnsi="Calibri" w:cs="Times New Roman"/>
      <w:sz w:val="21"/>
      <w:lang w:val="en-US" w:eastAsia="zh-CN" w:bidi="ar-SA"/>
    </w:rPr>
  </w:style>
  <w:style w:type="paragraph" w:customStyle="1" w:styleId="Style1">
    <w:name w:val="_Style 1"/>
    <w:basedOn w:val="Normal"/>
    <w:next w:val="TOCHeading13"/>
    <w:qFormat/>
    <w:pPr>
      <w:ind w:firstLine="420"/>
    </w:pPr>
    <w:rPr>
      <w:rFonts w:hAnsi="Calibri"/>
      <w:kern w:val="0"/>
      <w:szCs w:val="20"/>
    </w:rPr>
  </w:style>
  <w:style w:type="paragraph" w:customStyle="1" w:styleId="TOCHeading13">
    <w:name w:val="TOC Heading13"/>
    <w:next w:val="Normal"/>
    <w:qFormat/>
    <w:pPr>
      <w:wordWrap w:val="0"/>
    </w:pPr>
    <w:rPr>
      <w:rFonts w:ascii="Calibri" w:eastAsia="宋体" w:hAnsi="Calibri" w:cs="Times New Roman"/>
      <w:sz w:val="32"/>
      <w:lang w:val="en-US" w:eastAsia="zh-CN" w:bidi="ar-SA"/>
    </w:rPr>
  </w:style>
  <w:style w:type="paragraph" w:customStyle="1" w:styleId="toc116">
    <w:name w:val="toc 116"/>
    <w:next w:val="Normal"/>
    <w:qFormat/>
    <w:pPr>
      <w:wordWrap w:val="0"/>
      <w:jc w:val="both"/>
    </w:pPr>
    <w:rPr>
      <w:rFonts w:ascii="Calibri" w:eastAsia="宋体" w:hAnsi="Calibri" w:cs="Times New Roman"/>
      <w:sz w:val="21"/>
      <w:lang w:val="en-US" w:eastAsia="zh-CN" w:bidi="ar-SA"/>
    </w:rPr>
  </w:style>
  <w:style w:type="paragraph" w:customStyle="1" w:styleId="toc72">
    <w:name w:val="toc 72"/>
    <w:next w:val="Normal"/>
    <w:qFormat/>
    <w:pPr>
      <w:wordWrap w:val="0"/>
      <w:ind w:left="2550"/>
      <w:jc w:val="both"/>
    </w:pPr>
    <w:rPr>
      <w:rFonts w:ascii="Calibri" w:eastAsia="宋体" w:hAnsi="Calibri" w:cs="Times New Roman"/>
      <w:sz w:val="21"/>
      <w:lang w:val="en-US" w:eastAsia="zh-CN" w:bidi="ar-SA"/>
    </w:rPr>
  </w:style>
  <w:style w:type="paragraph" w:customStyle="1" w:styleId="xmsonormal">
    <w:name w:val="x_msonormal"/>
    <w:basedOn w:val="Normal"/>
    <w:next w:val="toc413"/>
    <w:qFormat/>
    <w:pPr>
      <w:widowControl/>
      <w:spacing w:before="280" w:after="280"/>
    </w:pPr>
    <w:rPr>
      <w:rFonts w:ascii="PMingLiU" w:eastAsia="PMingLiU" w:hAnsi="Calibri"/>
      <w:kern w:val="0"/>
      <w:sz w:val="24"/>
      <w:szCs w:val="20"/>
    </w:rPr>
  </w:style>
  <w:style w:type="paragraph" w:customStyle="1" w:styleId="toc310">
    <w:name w:val="toc 310"/>
    <w:next w:val="Normal"/>
    <w:qFormat/>
    <w:pPr>
      <w:wordWrap w:val="0"/>
      <w:ind w:left="850"/>
      <w:jc w:val="both"/>
    </w:pPr>
    <w:rPr>
      <w:rFonts w:ascii="Calibri" w:eastAsia="宋体" w:hAnsi="Calibri" w:cs="Times New Roman"/>
      <w:sz w:val="21"/>
      <w:lang w:val="en-US" w:eastAsia="zh-CN" w:bidi="ar-SA"/>
    </w:rPr>
  </w:style>
  <w:style w:type="paragraph" w:customStyle="1" w:styleId="toc83">
    <w:name w:val="toc 83"/>
    <w:next w:val="Normal"/>
    <w:qFormat/>
    <w:pPr>
      <w:wordWrap w:val="0"/>
      <w:ind w:left="2975"/>
      <w:jc w:val="both"/>
    </w:pPr>
    <w:rPr>
      <w:rFonts w:ascii="Calibri" w:eastAsia="宋体" w:hAnsi="Calibri" w:cs="Times New Roman"/>
      <w:sz w:val="21"/>
      <w:lang w:val="en-US" w:eastAsia="zh-CN" w:bidi="ar-SA"/>
    </w:rPr>
  </w:style>
  <w:style w:type="paragraph" w:customStyle="1" w:styleId="TOCHeading17">
    <w:name w:val="TOC Heading17"/>
    <w:next w:val="Normal"/>
    <w:qFormat/>
    <w:pPr>
      <w:wordWrap w:val="0"/>
    </w:pPr>
    <w:rPr>
      <w:rFonts w:ascii="Calibri" w:eastAsia="宋体" w:hAnsi="Calibri" w:cs="Times New Roman"/>
      <w:sz w:val="32"/>
      <w:lang w:val="en-US" w:eastAsia="zh-CN" w:bidi="ar-SA"/>
    </w:rPr>
  </w:style>
  <w:style w:type="paragraph" w:customStyle="1" w:styleId="toc911">
    <w:name w:val="toc 911"/>
    <w:next w:val="Normal"/>
    <w:qFormat/>
    <w:pPr>
      <w:wordWrap w:val="0"/>
      <w:ind w:left="3400"/>
      <w:jc w:val="both"/>
    </w:pPr>
    <w:rPr>
      <w:rFonts w:ascii="Calibri" w:eastAsia="宋体" w:hAnsi="Calibri" w:cs="Times New Roman"/>
      <w:sz w:val="21"/>
      <w:lang w:val="en-US" w:eastAsia="zh-CN" w:bidi="ar-SA"/>
    </w:rPr>
  </w:style>
  <w:style w:type="paragraph" w:customStyle="1" w:styleId="toc811">
    <w:name w:val="toc 811"/>
    <w:next w:val="Normal"/>
    <w:qFormat/>
    <w:pPr>
      <w:wordWrap w:val="0"/>
      <w:ind w:left="2975"/>
      <w:jc w:val="both"/>
    </w:pPr>
    <w:rPr>
      <w:rFonts w:ascii="Calibri" w:eastAsia="宋体" w:hAnsi="Calibri" w:cs="Times New Roman"/>
      <w:sz w:val="21"/>
      <w:lang w:val="en-US" w:eastAsia="zh-CN" w:bidi="ar-SA"/>
    </w:rPr>
  </w:style>
  <w:style w:type="paragraph" w:customStyle="1" w:styleId="31">
    <w:name w:val="目录 31"/>
    <w:next w:val="Normal"/>
    <w:qFormat/>
    <w:pPr>
      <w:wordWrap w:val="0"/>
      <w:ind w:left="850"/>
      <w:jc w:val="both"/>
    </w:pPr>
    <w:rPr>
      <w:rFonts w:ascii="Calibri" w:eastAsia="宋体" w:hAnsi="Calibri" w:cs="Times New Roman"/>
      <w:sz w:val="21"/>
      <w:lang w:val="en-US" w:eastAsia="zh-CN" w:bidi="ar-SA"/>
    </w:rPr>
  </w:style>
  <w:style w:type="paragraph" w:customStyle="1" w:styleId="xl118">
    <w:name w:val="xl118"/>
    <w:basedOn w:val="Normal"/>
    <w:next w:val="toc410"/>
    <w:qFormat/>
    <w:pPr>
      <w:widowControl/>
      <w:shd w:val="clear" w:color="000000" w:fill="FFFFFF"/>
      <w:spacing w:before="280" w:after="280"/>
      <w:jc w:val="center"/>
    </w:pPr>
    <w:rPr>
      <w:rFonts w:ascii="宋体" w:hAnsi="Calibri"/>
      <w:b/>
      <w:kern w:val="0"/>
      <w:sz w:val="20"/>
      <w:szCs w:val="20"/>
    </w:rPr>
  </w:style>
  <w:style w:type="paragraph" w:customStyle="1" w:styleId="xl83">
    <w:name w:val="xl83"/>
    <w:basedOn w:val="Normal"/>
    <w:next w:val="TOCHeading14"/>
    <w:qFormat/>
    <w:pPr>
      <w:widowControl/>
      <w:shd w:val="clear" w:color="000000" w:fill="FFFFFF"/>
      <w:spacing w:before="280" w:after="280"/>
    </w:pPr>
    <w:rPr>
      <w:rFonts w:ascii="宋体" w:hAnsi="Calibri"/>
      <w:kern w:val="0"/>
      <w:sz w:val="20"/>
      <w:szCs w:val="20"/>
    </w:rPr>
  </w:style>
  <w:style w:type="paragraph" w:customStyle="1" w:styleId="xl103">
    <w:name w:val="xl103"/>
    <w:basedOn w:val="Normal"/>
    <w:next w:val="toc111"/>
    <w:qFormat/>
    <w:pPr>
      <w:widowControl/>
      <w:shd w:val="clear" w:color="000000" w:fill="FFFFFF"/>
      <w:spacing w:before="280" w:after="280"/>
    </w:pPr>
    <w:rPr>
      <w:rFonts w:ascii="宋体" w:hAnsi="Calibri"/>
      <w:kern w:val="0"/>
      <w:sz w:val="20"/>
      <w:szCs w:val="20"/>
    </w:rPr>
  </w:style>
  <w:style w:type="paragraph" w:customStyle="1" w:styleId="toc111">
    <w:name w:val="toc 111"/>
    <w:next w:val="Normal"/>
    <w:qFormat/>
    <w:pPr>
      <w:wordWrap w:val="0"/>
      <w:jc w:val="both"/>
    </w:pPr>
    <w:rPr>
      <w:rFonts w:ascii="Calibri" w:eastAsia="宋体" w:hAnsi="Calibri" w:cs="Times New Roman"/>
      <w:sz w:val="21"/>
      <w:lang w:val="en-US" w:eastAsia="zh-CN" w:bidi="ar-SA"/>
    </w:rPr>
  </w:style>
  <w:style w:type="paragraph" w:customStyle="1" w:styleId="xl68">
    <w:name w:val="xl68"/>
    <w:basedOn w:val="Normal"/>
    <w:next w:val="TOCHeading16"/>
    <w:qFormat/>
    <w:pPr>
      <w:widowControl/>
      <w:shd w:val="clear" w:color="000000" w:fill="FFFFFF"/>
      <w:spacing w:before="280" w:after="280"/>
    </w:pPr>
    <w:rPr>
      <w:rFonts w:ascii="宋体" w:hAnsi="Calibri"/>
      <w:b/>
      <w:kern w:val="0"/>
      <w:sz w:val="20"/>
      <w:szCs w:val="20"/>
    </w:rPr>
  </w:style>
  <w:style w:type="paragraph" w:customStyle="1" w:styleId="TOCHeading16">
    <w:name w:val="TOC Heading16"/>
    <w:next w:val="Normal"/>
    <w:qFormat/>
    <w:pPr>
      <w:wordWrap w:val="0"/>
    </w:pPr>
    <w:rPr>
      <w:rFonts w:ascii="Calibri" w:eastAsia="宋体" w:hAnsi="Calibri" w:cs="Times New Roman"/>
      <w:sz w:val="32"/>
      <w:lang w:val="en-US" w:eastAsia="zh-CN" w:bidi="ar-SA"/>
    </w:rPr>
  </w:style>
  <w:style w:type="paragraph" w:customStyle="1" w:styleId="toc113">
    <w:name w:val="toc 113"/>
    <w:next w:val="Normal"/>
    <w:qFormat/>
    <w:pPr>
      <w:wordWrap w:val="0"/>
      <w:jc w:val="both"/>
    </w:pPr>
    <w:rPr>
      <w:rFonts w:ascii="Calibri" w:eastAsia="宋体" w:hAnsi="Calibri" w:cs="Times New Roman"/>
      <w:sz w:val="21"/>
      <w:lang w:val="en-US" w:eastAsia="zh-CN" w:bidi="ar-SA"/>
    </w:rPr>
  </w:style>
  <w:style w:type="paragraph" w:customStyle="1" w:styleId="xl94">
    <w:name w:val="xl94"/>
    <w:basedOn w:val="Normal"/>
    <w:next w:val="toc513"/>
    <w:qFormat/>
    <w:pPr>
      <w:widowControl/>
      <w:shd w:val="clear" w:color="000000" w:fill="FFFFFF"/>
      <w:spacing w:before="280" w:after="280"/>
      <w:jc w:val="center"/>
    </w:pPr>
    <w:rPr>
      <w:rFonts w:ascii="宋体" w:hAnsi="Calibri"/>
      <w:kern w:val="0"/>
      <w:sz w:val="20"/>
      <w:szCs w:val="20"/>
    </w:rPr>
  </w:style>
  <w:style w:type="paragraph" w:customStyle="1" w:styleId="toc53">
    <w:name w:val="toc 53"/>
    <w:next w:val="Normal"/>
    <w:qFormat/>
    <w:pPr>
      <w:wordWrap w:val="0"/>
      <w:ind w:left="1700"/>
      <w:jc w:val="both"/>
    </w:pPr>
    <w:rPr>
      <w:rFonts w:ascii="Calibri" w:eastAsia="宋体" w:hAnsi="Calibri" w:cs="Times New Roman"/>
      <w:sz w:val="21"/>
      <w:lang w:val="en-US" w:eastAsia="zh-CN" w:bidi="ar-SA"/>
    </w:rPr>
  </w:style>
  <w:style w:type="paragraph" w:customStyle="1" w:styleId="xl92">
    <w:name w:val="xl92"/>
    <w:basedOn w:val="Normal"/>
    <w:next w:val="toc913"/>
    <w:qFormat/>
    <w:pPr>
      <w:widowControl/>
      <w:shd w:val="clear" w:color="000000" w:fill="FFFFFF"/>
      <w:spacing w:before="280" w:after="280"/>
    </w:pPr>
    <w:rPr>
      <w:rFonts w:ascii="宋体" w:hAnsi="Calibri"/>
      <w:kern w:val="0"/>
      <w:sz w:val="20"/>
      <w:szCs w:val="20"/>
    </w:rPr>
  </w:style>
  <w:style w:type="paragraph" w:customStyle="1" w:styleId="toc913">
    <w:name w:val="toc 913"/>
    <w:next w:val="Normal"/>
    <w:qFormat/>
    <w:pPr>
      <w:wordWrap w:val="0"/>
      <w:ind w:left="3400"/>
      <w:jc w:val="both"/>
    </w:pPr>
    <w:rPr>
      <w:rFonts w:ascii="Calibri" w:eastAsia="宋体" w:hAnsi="Calibri" w:cs="Times New Roman"/>
      <w:sz w:val="21"/>
      <w:lang w:val="en-US" w:eastAsia="zh-CN" w:bidi="ar-SA"/>
    </w:rPr>
  </w:style>
  <w:style w:type="paragraph" w:customStyle="1" w:styleId="toc512">
    <w:name w:val="toc 512"/>
    <w:next w:val="Normal"/>
    <w:qFormat/>
    <w:pPr>
      <w:wordWrap w:val="0"/>
      <w:ind w:left="1700"/>
      <w:jc w:val="both"/>
    </w:pPr>
    <w:rPr>
      <w:rFonts w:ascii="Calibri" w:eastAsia="宋体" w:hAnsi="Calibri" w:cs="Times New Roman"/>
      <w:sz w:val="21"/>
      <w:lang w:val="en-US" w:eastAsia="zh-CN" w:bidi="ar-SA"/>
    </w:rPr>
  </w:style>
  <w:style w:type="paragraph" w:customStyle="1" w:styleId="81">
    <w:name w:val="目录 81"/>
    <w:next w:val="Normal"/>
    <w:qFormat/>
    <w:pPr>
      <w:wordWrap w:val="0"/>
      <w:ind w:left="2975"/>
      <w:jc w:val="both"/>
    </w:pPr>
    <w:rPr>
      <w:rFonts w:ascii="Calibri" w:eastAsia="宋体" w:hAnsi="Calibri" w:cs="Times New Roman"/>
      <w:sz w:val="21"/>
      <w:lang w:val="en-US" w:eastAsia="zh-CN" w:bidi="ar-SA"/>
    </w:rPr>
  </w:style>
  <w:style w:type="paragraph" w:customStyle="1" w:styleId="a20">
    <w:name w:val="正文表标题"/>
    <w:next w:val="Normal"/>
    <w:qFormat/>
    <w:pPr>
      <w:ind w:left="630"/>
      <w:jc w:val="center"/>
    </w:pPr>
    <w:rPr>
      <w:rFonts w:ascii="黑体" w:eastAsia="黑体" w:hAnsi="Calibri" w:cs="Times New Roman"/>
      <w:sz w:val="21"/>
      <w:lang w:val="en-US" w:eastAsia="zh-CN" w:bidi="ar-SA"/>
    </w:rPr>
  </w:style>
  <w:style w:type="paragraph" w:customStyle="1" w:styleId="toc28">
    <w:name w:val="toc 28"/>
    <w:next w:val="Normal"/>
    <w:qFormat/>
    <w:pPr>
      <w:wordWrap w:val="0"/>
      <w:ind w:left="425"/>
      <w:jc w:val="both"/>
    </w:pPr>
    <w:rPr>
      <w:rFonts w:ascii="Calibri" w:eastAsia="宋体" w:hAnsi="Calibri" w:cs="Times New Roman"/>
      <w:sz w:val="21"/>
      <w:lang w:val="en-US" w:eastAsia="zh-CN" w:bidi="ar-SA"/>
    </w:rPr>
  </w:style>
  <w:style w:type="paragraph" w:customStyle="1" w:styleId="toc79">
    <w:name w:val="toc 79"/>
    <w:next w:val="Normal"/>
    <w:qFormat/>
    <w:pPr>
      <w:wordWrap w:val="0"/>
      <w:ind w:left="2550"/>
      <w:jc w:val="both"/>
    </w:pPr>
    <w:rPr>
      <w:rFonts w:ascii="Calibri" w:eastAsia="宋体" w:hAnsi="Calibri" w:cs="Times New Roman"/>
      <w:sz w:val="21"/>
      <w:lang w:val="en-US" w:eastAsia="zh-CN" w:bidi="ar-SA"/>
    </w:rPr>
  </w:style>
  <w:style w:type="paragraph" w:customStyle="1" w:styleId="xl110">
    <w:name w:val="xl110"/>
    <w:basedOn w:val="Normal"/>
    <w:next w:val="toc614"/>
    <w:qFormat/>
    <w:pPr>
      <w:widowControl/>
      <w:shd w:val="clear" w:color="000000" w:fill="FFFFFF"/>
      <w:spacing w:before="280" w:after="280"/>
      <w:jc w:val="center"/>
    </w:pPr>
    <w:rPr>
      <w:rFonts w:ascii="宋体" w:hAnsi="Calibri"/>
      <w:kern w:val="0"/>
      <w:sz w:val="20"/>
      <w:szCs w:val="20"/>
    </w:rPr>
  </w:style>
  <w:style w:type="paragraph" w:customStyle="1" w:styleId="toc511">
    <w:name w:val="toc 511"/>
    <w:next w:val="Normal"/>
    <w:qFormat/>
    <w:pPr>
      <w:wordWrap w:val="0"/>
      <w:ind w:left="1700"/>
      <w:jc w:val="both"/>
    </w:pPr>
    <w:rPr>
      <w:rFonts w:ascii="Calibri" w:eastAsia="宋体" w:hAnsi="Calibri" w:cs="Times New Roman"/>
      <w:sz w:val="21"/>
      <w:lang w:val="en-US" w:eastAsia="zh-CN" w:bidi="ar-SA"/>
    </w:rPr>
  </w:style>
  <w:style w:type="paragraph" w:customStyle="1" w:styleId="toc416">
    <w:name w:val="toc 416"/>
    <w:next w:val="Normal"/>
    <w:qFormat/>
    <w:pPr>
      <w:wordWrap w:val="0"/>
      <w:ind w:left="1275"/>
      <w:jc w:val="both"/>
    </w:pPr>
    <w:rPr>
      <w:rFonts w:ascii="Calibri" w:eastAsia="宋体" w:hAnsi="Calibri" w:cs="Times New Roman"/>
      <w:sz w:val="21"/>
      <w:lang w:val="en-US" w:eastAsia="zh-CN" w:bidi="ar-SA"/>
    </w:rPr>
  </w:style>
  <w:style w:type="paragraph" w:customStyle="1" w:styleId="xl85">
    <w:name w:val="xl85"/>
    <w:basedOn w:val="Normal"/>
    <w:next w:val="toc76"/>
    <w:qFormat/>
    <w:pPr>
      <w:widowControl/>
      <w:shd w:val="clear" w:color="000000" w:fill="FFFFFF"/>
      <w:spacing w:before="280" w:after="280"/>
      <w:jc w:val="center"/>
    </w:pPr>
    <w:rPr>
      <w:rFonts w:ascii="宋体" w:hAnsi="Calibri"/>
      <w:kern w:val="0"/>
      <w:sz w:val="20"/>
      <w:szCs w:val="20"/>
    </w:rPr>
  </w:style>
  <w:style w:type="paragraph" w:customStyle="1" w:styleId="toc76">
    <w:name w:val="toc 76"/>
    <w:next w:val="Normal"/>
    <w:qFormat/>
    <w:pPr>
      <w:wordWrap w:val="0"/>
      <w:ind w:left="2550"/>
      <w:jc w:val="both"/>
    </w:pPr>
    <w:rPr>
      <w:rFonts w:ascii="Calibri" w:eastAsia="宋体" w:hAnsi="Calibri" w:cs="Times New Roman"/>
      <w:sz w:val="21"/>
      <w:lang w:val="en-US" w:eastAsia="zh-CN" w:bidi="ar-SA"/>
    </w:rPr>
  </w:style>
  <w:style w:type="paragraph" w:customStyle="1" w:styleId="toc27">
    <w:name w:val="toc 27"/>
    <w:next w:val="Normal"/>
    <w:qFormat/>
    <w:pPr>
      <w:wordWrap w:val="0"/>
      <w:ind w:left="425"/>
      <w:jc w:val="both"/>
    </w:pPr>
    <w:rPr>
      <w:rFonts w:ascii="Calibri" w:eastAsia="宋体" w:hAnsi="Calibri" w:cs="Times New Roman"/>
      <w:sz w:val="21"/>
      <w:lang w:val="en-US" w:eastAsia="zh-CN" w:bidi="ar-SA"/>
    </w:rPr>
  </w:style>
  <w:style w:type="paragraph" w:customStyle="1" w:styleId="toc916">
    <w:name w:val="toc 916"/>
    <w:next w:val="Normal"/>
    <w:qFormat/>
    <w:pPr>
      <w:wordWrap w:val="0"/>
      <w:ind w:left="3400"/>
      <w:jc w:val="both"/>
    </w:pPr>
    <w:rPr>
      <w:rFonts w:ascii="Calibri" w:eastAsia="宋体" w:hAnsi="Calibri" w:cs="Times New Roman"/>
      <w:sz w:val="21"/>
      <w:lang w:val="en-US" w:eastAsia="zh-CN" w:bidi="ar-SA"/>
    </w:rPr>
  </w:style>
  <w:style w:type="paragraph" w:customStyle="1" w:styleId="toc77">
    <w:name w:val="toc 77"/>
    <w:next w:val="Normal"/>
    <w:qFormat/>
    <w:pPr>
      <w:wordWrap w:val="0"/>
      <w:ind w:left="2550"/>
      <w:jc w:val="both"/>
    </w:pPr>
    <w:rPr>
      <w:rFonts w:ascii="Calibri" w:eastAsia="宋体" w:hAnsi="Calibri" w:cs="Times New Roman"/>
      <w:sz w:val="21"/>
      <w:lang w:val="en-US" w:eastAsia="zh-CN" w:bidi="ar-SA"/>
    </w:rPr>
  </w:style>
  <w:style w:type="paragraph" w:customStyle="1" w:styleId="toc211">
    <w:name w:val="toc 211"/>
    <w:next w:val="Normal"/>
    <w:qFormat/>
    <w:pPr>
      <w:wordWrap w:val="0"/>
      <w:ind w:left="425"/>
      <w:jc w:val="both"/>
    </w:pPr>
    <w:rPr>
      <w:rFonts w:ascii="Calibri" w:eastAsia="宋体" w:hAnsi="Calibri" w:cs="Times New Roman"/>
      <w:sz w:val="21"/>
      <w:lang w:val="en-US" w:eastAsia="zh-CN" w:bidi="ar-SA"/>
    </w:rPr>
  </w:style>
  <w:style w:type="paragraph" w:customStyle="1" w:styleId="toc815">
    <w:name w:val="toc 815"/>
    <w:next w:val="Normal"/>
    <w:qFormat/>
    <w:pPr>
      <w:wordWrap w:val="0"/>
      <w:ind w:left="2975"/>
      <w:jc w:val="both"/>
    </w:pPr>
    <w:rPr>
      <w:rFonts w:ascii="Calibri" w:eastAsia="宋体" w:hAnsi="Calibri" w:cs="Times New Roman"/>
      <w:sz w:val="21"/>
      <w:lang w:val="en-US" w:eastAsia="zh-CN" w:bidi="ar-SA"/>
    </w:rPr>
  </w:style>
  <w:style w:type="paragraph" w:customStyle="1" w:styleId="xl99">
    <w:name w:val="xl99"/>
    <w:basedOn w:val="Normal"/>
    <w:next w:val="toc512"/>
    <w:qFormat/>
    <w:pPr>
      <w:widowControl/>
      <w:shd w:val="clear" w:color="000000" w:fill="FFFFFF"/>
      <w:spacing w:before="280" w:after="280"/>
    </w:pPr>
    <w:rPr>
      <w:rFonts w:ascii="宋体" w:hAnsi="Calibri"/>
      <w:kern w:val="0"/>
      <w:sz w:val="18"/>
      <w:szCs w:val="20"/>
    </w:rPr>
  </w:style>
  <w:style w:type="paragraph" w:customStyle="1" w:styleId="xl97">
    <w:name w:val="xl97"/>
    <w:basedOn w:val="Normal"/>
    <w:next w:val="TOCHeading12"/>
    <w:qFormat/>
    <w:pPr>
      <w:widowControl/>
      <w:shd w:val="clear" w:color="000000" w:fill="FFFFFF"/>
      <w:spacing w:before="280" w:after="280"/>
      <w:jc w:val="center"/>
    </w:pPr>
    <w:rPr>
      <w:rFonts w:ascii="宋体" w:hAnsi="Calibri"/>
      <w:kern w:val="0"/>
      <w:sz w:val="20"/>
      <w:szCs w:val="20"/>
    </w:rPr>
  </w:style>
  <w:style w:type="paragraph" w:customStyle="1" w:styleId="toc612">
    <w:name w:val="toc 612"/>
    <w:next w:val="Normal"/>
    <w:qFormat/>
    <w:pPr>
      <w:wordWrap w:val="0"/>
      <w:ind w:left="2125"/>
      <w:jc w:val="both"/>
    </w:pPr>
    <w:rPr>
      <w:rFonts w:ascii="Calibri" w:eastAsia="宋体" w:hAnsi="Calibri" w:cs="Times New Roman"/>
      <w:sz w:val="21"/>
      <w:lang w:val="en-US" w:eastAsia="zh-CN" w:bidi="ar-SA"/>
    </w:rPr>
  </w:style>
  <w:style w:type="paragraph" w:customStyle="1" w:styleId="toc315">
    <w:name w:val="toc 315"/>
    <w:next w:val="Normal"/>
    <w:qFormat/>
    <w:pPr>
      <w:wordWrap w:val="0"/>
      <w:ind w:left="850"/>
      <w:jc w:val="both"/>
    </w:pPr>
    <w:rPr>
      <w:rFonts w:ascii="Calibri" w:eastAsia="宋体" w:hAnsi="Calibri" w:cs="Times New Roman"/>
      <w:sz w:val="21"/>
      <w:lang w:val="en-US" w:eastAsia="zh-CN" w:bidi="ar-SA"/>
    </w:rPr>
  </w:style>
  <w:style w:type="paragraph" w:customStyle="1" w:styleId="TOCHeading15">
    <w:name w:val="TOC Heading15"/>
    <w:next w:val="Normal"/>
    <w:qFormat/>
    <w:pPr>
      <w:wordWrap w:val="0"/>
    </w:pPr>
    <w:rPr>
      <w:rFonts w:ascii="Calibri" w:eastAsia="宋体" w:hAnsi="Calibri" w:cs="Times New Roman"/>
      <w:sz w:val="32"/>
      <w:lang w:val="en-US" w:eastAsia="zh-CN" w:bidi="ar-SA"/>
    </w:rPr>
  </w:style>
  <w:style w:type="paragraph" w:customStyle="1" w:styleId="toc915">
    <w:name w:val="toc 915"/>
    <w:next w:val="Normal"/>
    <w:qFormat/>
    <w:pPr>
      <w:wordWrap w:val="0"/>
      <w:ind w:left="3400"/>
      <w:jc w:val="both"/>
    </w:pPr>
    <w:rPr>
      <w:rFonts w:ascii="Calibri" w:eastAsia="宋体" w:hAnsi="Calibri" w:cs="Times New Roman"/>
      <w:sz w:val="21"/>
      <w:lang w:val="en-US" w:eastAsia="zh-CN" w:bidi="ar-SA"/>
    </w:rPr>
  </w:style>
  <w:style w:type="paragraph" w:customStyle="1" w:styleId="toc39">
    <w:name w:val="toc 39"/>
    <w:next w:val="Normal"/>
    <w:qFormat/>
    <w:pPr>
      <w:wordWrap w:val="0"/>
      <w:ind w:left="850"/>
      <w:jc w:val="both"/>
    </w:pPr>
    <w:rPr>
      <w:rFonts w:ascii="Calibri" w:eastAsia="宋体" w:hAnsi="Calibri" w:cs="Times New Roman"/>
      <w:sz w:val="21"/>
      <w:lang w:val="en-US" w:eastAsia="zh-CN" w:bidi="ar-SA"/>
    </w:rPr>
  </w:style>
  <w:style w:type="paragraph" w:customStyle="1" w:styleId="toc710">
    <w:name w:val="toc 710"/>
    <w:next w:val="Normal"/>
    <w:qFormat/>
    <w:pPr>
      <w:wordWrap w:val="0"/>
      <w:ind w:left="2550"/>
      <w:jc w:val="both"/>
    </w:pPr>
    <w:rPr>
      <w:rFonts w:ascii="Calibri" w:eastAsia="宋体" w:hAnsi="Calibri" w:cs="Times New Roman"/>
      <w:sz w:val="21"/>
      <w:lang w:val="en-US" w:eastAsia="zh-CN" w:bidi="ar-SA"/>
    </w:rPr>
  </w:style>
  <w:style w:type="paragraph" w:customStyle="1" w:styleId="toc12">
    <w:name w:val="toc 12"/>
    <w:next w:val="Normal"/>
    <w:qFormat/>
    <w:pPr>
      <w:wordWrap w:val="0"/>
      <w:jc w:val="both"/>
    </w:pPr>
    <w:rPr>
      <w:rFonts w:ascii="Calibri" w:eastAsia="宋体" w:hAnsi="Calibri" w:cs="Times New Roman"/>
      <w:sz w:val="21"/>
      <w:lang w:val="en-US" w:eastAsia="zh-CN" w:bidi="ar-SA"/>
    </w:rPr>
  </w:style>
  <w:style w:type="paragraph" w:customStyle="1" w:styleId="xl95">
    <w:name w:val="xl95"/>
    <w:basedOn w:val="Normal"/>
    <w:next w:val="toc415"/>
    <w:qFormat/>
    <w:pPr>
      <w:widowControl/>
      <w:shd w:val="clear" w:color="000000" w:fill="FFFFFF"/>
      <w:spacing w:before="280" w:after="280"/>
    </w:pPr>
    <w:rPr>
      <w:rFonts w:ascii="宋体" w:hAnsi="Calibri"/>
      <w:kern w:val="0"/>
      <w:sz w:val="20"/>
      <w:szCs w:val="20"/>
    </w:rPr>
  </w:style>
  <w:style w:type="paragraph" w:customStyle="1" w:styleId="toc415">
    <w:name w:val="toc 415"/>
    <w:next w:val="Normal"/>
    <w:qFormat/>
    <w:pPr>
      <w:wordWrap w:val="0"/>
      <w:ind w:left="1275"/>
      <w:jc w:val="both"/>
    </w:pPr>
    <w:rPr>
      <w:rFonts w:ascii="Calibri" w:eastAsia="宋体" w:hAnsi="Calibri" w:cs="Times New Roman"/>
      <w:sz w:val="21"/>
      <w:lang w:val="en-US" w:eastAsia="zh-CN" w:bidi="ar-SA"/>
    </w:rPr>
  </w:style>
  <w:style w:type="paragraph" w:customStyle="1" w:styleId="toc29">
    <w:name w:val="toc 29"/>
    <w:next w:val="Normal"/>
    <w:qFormat/>
    <w:pPr>
      <w:wordWrap w:val="0"/>
      <w:ind w:left="425"/>
      <w:jc w:val="both"/>
    </w:pPr>
    <w:rPr>
      <w:rFonts w:ascii="Calibri" w:eastAsia="宋体" w:hAnsi="Calibri" w:cs="Times New Roman"/>
      <w:sz w:val="21"/>
      <w:lang w:val="en-US" w:eastAsia="zh-CN" w:bidi="ar-SA"/>
    </w:rPr>
  </w:style>
  <w:style w:type="paragraph" w:customStyle="1" w:styleId="xl67">
    <w:name w:val="xl67"/>
    <w:basedOn w:val="Normal"/>
    <w:next w:val="toc714"/>
    <w:qFormat/>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Normal"/>
    <w:qFormat/>
    <w:pPr>
      <w:wordWrap w:val="0"/>
      <w:ind w:left="2550"/>
      <w:jc w:val="both"/>
    </w:pPr>
    <w:rPr>
      <w:rFonts w:ascii="Calibri" w:eastAsia="宋体" w:hAnsi="Calibri" w:cs="Times New Roman"/>
      <w:sz w:val="21"/>
      <w:lang w:val="en-US" w:eastAsia="zh-CN" w:bidi="ar-SA"/>
    </w:rPr>
  </w:style>
  <w:style w:type="paragraph" w:customStyle="1" w:styleId="toc21">
    <w:name w:val="toc 21"/>
    <w:next w:val="Normal"/>
    <w:qFormat/>
    <w:pPr>
      <w:wordWrap w:val="0"/>
      <w:ind w:left="425"/>
      <w:jc w:val="both"/>
    </w:pPr>
    <w:rPr>
      <w:rFonts w:ascii="Calibri" w:eastAsia="宋体" w:hAnsi="Calibri" w:cs="Times New Roman"/>
      <w:sz w:val="21"/>
      <w:lang w:val="en-US" w:eastAsia="zh-CN" w:bidi="ar-SA"/>
    </w:rPr>
  </w:style>
  <w:style w:type="paragraph" w:customStyle="1" w:styleId="A21">
    <w:name w:val="正文 A"/>
    <w:next w:val="toc812"/>
    <w:qFormat/>
    <w:rPr>
      <w:rFonts w:ascii="Arial" w:eastAsia="Arial Unicode MS" w:hAnsi="Calibri" w:cs="Times New Roman"/>
      <w:color w:val="000000"/>
      <w:sz w:val="21"/>
      <w:lang w:val="en-US" w:eastAsia="zh-CN" w:bidi="ar-SA"/>
    </w:rPr>
  </w:style>
  <w:style w:type="paragraph" w:customStyle="1" w:styleId="toc68">
    <w:name w:val="toc 68"/>
    <w:next w:val="Normal"/>
    <w:qFormat/>
    <w:pPr>
      <w:wordWrap w:val="0"/>
      <w:ind w:left="2125"/>
      <w:jc w:val="both"/>
    </w:pPr>
    <w:rPr>
      <w:rFonts w:ascii="Calibri" w:eastAsia="宋体" w:hAnsi="Calibri" w:cs="Times New Roman"/>
      <w:sz w:val="21"/>
      <w:lang w:val="en-US" w:eastAsia="zh-CN" w:bidi="ar-SA"/>
    </w:rPr>
  </w:style>
  <w:style w:type="paragraph" w:customStyle="1" w:styleId="toc58">
    <w:name w:val="toc 58"/>
    <w:next w:val="Normal"/>
    <w:qFormat/>
    <w:pPr>
      <w:wordWrap w:val="0"/>
      <w:ind w:left="1700"/>
      <w:jc w:val="both"/>
    </w:pPr>
    <w:rPr>
      <w:rFonts w:ascii="Calibri" w:eastAsia="宋体" w:hAnsi="Calibri" w:cs="Times New Roman"/>
      <w:sz w:val="21"/>
      <w:lang w:val="en-US" w:eastAsia="zh-CN" w:bidi="ar-SA"/>
    </w:rPr>
  </w:style>
  <w:style w:type="paragraph" w:customStyle="1" w:styleId="xl88">
    <w:name w:val="xl88"/>
    <w:basedOn w:val="Normal"/>
    <w:next w:val="TOCHeading15"/>
    <w:qFormat/>
    <w:pPr>
      <w:widowControl/>
      <w:shd w:val="clear" w:color="000000" w:fill="FFFFFF"/>
      <w:spacing w:before="280" w:after="280"/>
      <w:jc w:val="center"/>
    </w:pPr>
    <w:rPr>
      <w:rFonts w:ascii="宋体" w:hAnsi="Calibri"/>
      <w:kern w:val="0"/>
      <w:sz w:val="20"/>
      <w:szCs w:val="20"/>
    </w:rPr>
  </w:style>
  <w:style w:type="paragraph" w:customStyle="1" w:styleId="toc71">
    <w:name w:val="toc 71"/>
    <w:next w:val="Normal"/>
    <w:qFormat/>
    <w:pPr>
      <w:wordWrap w:val="0"/>
      <w:ind w:left="2550"/>
      <w:jc w:val="both"/>
    </w:pPr>
    <w:rPr>
      <w:rFonts w:ascii="Calibri" w:eastAsia="宋体" w:hAnsi="Calibri" w:cs="Times New Roman"/>
      <w:sz w:val="21"/>
      <w:lang w:val="en-US" w:eastAsia="zh-CN" w:bidi="ar-SA"/>
    </w:rPr>
  </w:style>
  <w:style w:type="paragraph" w:customStyle="1" w:styleId="xl100">
    <w:name w:val="xl100"/>
    <w:basedOn w:val="Normal"/>
    <w:next w:val="toc510"/>
    <w:qFormat/>
    <w:pPr>
      <w:widowControl/>
      <w:shd w:val="clear" w:color="000000" w:fill="FFFFFF"/>
      <w:spacing w:before="280" w:after="280"/>
    </w:pPr>
    <w:rPr>
      <w:rFonts w:ascii="宋体" w:hAnsi="Calibri"/>
      <w:kern w:val="0"/>
      <w:sz w:val="20"/>
      <w:szCs w:val="20"/>
    </w:rPr>
  </w:style>
  <w:style w:type="paragraph" w:customStyle="1" w:styleId="toc510">
    <w:name w:val="toc 510"/>
    <w:next w:val="Normal"/>
    <w:qFormat/>
    <w:pPr>
      <w:wordWrap w:val="0"/>
      <w:ind w:left="1700"/>
      <w:jc w:val="both"/>
    </w:pPr>
    <w:rPr>
      <w:rFonts w:ascii="Calibri" w:eastAsia="宋体" w:hAnsi="Calibri" w:cs="Times New Roman"/>
      <w:sz w:val="21"/>
      <w:lang w:val="en-US" w:eastAsia="zh-CN" w:bidi="ar-SA"/>
    </w:rPr>
  </w:style>
  <w:style w:type="paragraph" w:customStyle="1" w:styleId="toc314">
    <w:name w:val="toc 314"/>
    <w:next w:val="Normal"/>
    <w:qFormat/>
    <w:pPr>
      <w:wordWrap w:val="0"/>
      <w:ind w:left="850"/>
      <w:jc w:val="both"/>
    </w:pPr>
    <w:rPr>
      <w:rFonts w:ascii="Calibri" w:eastAsia="宋体" w:hAnsi="Calibri" w:cs="Times New Roman"/>
      <w:sz w:val="21"/>
      <w:lang w:val="en-US" w:eastAsia="zh-CN" w:bidi="ar-SA"/>
    </w:rPr>
  </w:style>
  <w:style w:type="paragraph" w:customStyle="1" w:styleId="xl114">
    <w:name w:val="xl114"/>
    <w:basedOn w:val="Normal"/>
    <w:next w:val="toc711"/>
    <w:qFormat/>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Normal"/>
    <w:next w:val="toc610"/>
    <w:qFormat/>
    <w:pPr>
      <w:widowControl/>
      <w:shd w:val="clear" w:color="000000" w:fill="FFFFFF"/>
      <w:spacing w:before="280" w:after="280"/>
    </w:pPr>
    <w:rPr>
      <w:rFonts w:ascii="宋体" w:hAnsi="Calibri"/>
      <w:kern w:val="0"/>
      <w:sz w:val="20"/>
      <w:szCs w:val="20"/>
    </w:rPr>
  </w:style>
  <w:style w:type="paragraph" w:customStyle="1" w:styleId="toc610">
    <w:name w:val="toc 610"/>
    <w:next w:val="Normal"/>
    <w:qFormat/>
    <w:pPr>
      <w:wordWrap w:val="0"/>
      <w:ind w:left="2125"/>
      <w:jc w:val="both"/>
    </w:pPr>
    <w:rPr>
      <w:rFonts w:ascii="Calibri" w:eastAsia="宋体" w:hAnsi="Calibri" w:cs="Times New Roman"/>
      <w:sz w:val="21"/>
      <w:lang w:val="en-US" w:eastAsia="zh-CN" w:bidi="ar-SA"/>
    </w:rPr>
  </w:style>
  <w:style w:type="paragraph" w:customStyle="1" w:styleId="toc22">
    <w:name w:val="toc 22"/>
    <w:next w:val="Normal"/>
    <w:qFormat/>
    <w:pPr>
      <w:wordWrap w:val="0"/>
      <w:ind w:left="425"/>
      <w:jc w:val="both"/>
    </w:pPr>
    <w:rPr>
      <w:rFonts w:ascii="Calibri" w:eastAsia="宋体" w:hAnsi="Calibri" w:cs="Times New Roman"/>
      <w:sz w:val="21"/>
      <w:lang w:val="en-US" w:eastAsia="zh-CN" w:bidi="ar-SA"/>
    </w:rPr>
  </w:style>
  <w:style w:type="paragraph" w:customStyle="1" w:styleId="xl90">
    <w:name w:val="xl90"/>
    <w:basedOn w:val="Normal"/>
    <w:next w:val="toc414"/>
    <w:qFormat/>
    <w:pPr>
      <w:widowControl/>
      <w:shd w:val="clear" w:color="000000" w:fill="FFFFFF"/>
      <w:spacing w:before="280" w:after="280"/>
    </w:pPr>
    <w:rPr>
      <w:rFonts w:ascii="宋体" w:hAnsi="Calibri"/>
      <w:kern w:val="0"/>
      <w:sz w:val="18"/>
      <w:szCs w:val="20"/>
    </w:rPr>
  </w:style>
  <w:style w:type="paragraph" w:customStyle="1" w:styleId="toc616">
    <w:name w:val="toc 616"/>
    <w:next w:val="Normal"/>
    <w:qFormat/>
    <w:pPr>
      <w:wordWrap w:val="0"/>
      <w:ind w:left="2125"/>
      <w:jc w:val="both"/>
    </w:pPr>
    <w:rPr>
      <w:rFonts w:ascii="Calibri" w:eastAsia="宋体" w:hAnsi="Calibri" w:cs="Times New Roman"/>
      <w:sz w:val="21"/>
      <w:lang w:val="en-US" w:eastAsia="zh-CN" w:bidi="ar-SA"/>
    </w:rPr>
  </w:style>
  <w:style w:type="paragraph" w:customStyle="1" w:styleId="toc96">
    <w:name w:val="toc 96"/>
    <w:next w:val="Normal"/>
    <w:qFormat/>
    <w:pPr>
      <w:wordWrap w:val="0"/>
      <w:ind w:left="3400"/>
      <w:jc w:val="both"/>
    </w:pPr>
    <w:rPr>
      <w:rFonts w:ascii="Calibri" w:eastAsia="宋体" w:hAnsi="Calibri" w:cs="Times New Roman"/>
      <w:sz w:val="21"/>
      <w:lang w:val="en-US" w:eastAsia="zh-CN" w:bidi="ar-SA"/>
    </w:rPr>
  </w:style>
  <w:style w:type="paragraph" w:customStyle="1" w:styleId="toc42">
    <w:name w:val="toc 42"/>
    <w:next w:val="Normal"/>
    <w:qFormat/>
    <w:pPr>
      <w:wordWrap w:val="0"/>
      <w:ind w:left="1275"/>
      <w:jc w:val="both"/>
    </w:pPr>
    <w:rPr>
      <w:rFonts w:ascii="Calibri" w:eastAsia="宋体" w:hAnsi="Calibri" w:cs="Times New Roman"/>
      <w:sz w:val="21"/>
      <w:lang w:val="en-US" w:eastAsia="zh-CN" w:bidi="ar-SA"/>
    </w:rPr>
  </w:style>
  <w:style w:type="paragraph" w:customStyle="1" w:styleId="xl117">
    <w:name w:val="xl117"/>
    <w:basedOn w:val="Normal"/>
    <w:next w:val="toc311"/>
    <w:qFormat/>
    <w:pPr>
      <w:widowControl/>
      <w:shd w:val="clear" w:color="000000" w:fill="FFFFFF"/>
      <w:spacing w:before="280" w:after="280"/>
      <w:jc w:val="center"/>
    </w:pPr>
    <w:rPr>
      <w:rFonts w:ascii="Arial Narrow" w:hAnsi="Calibri"/>
      <w:kern w:val="0"/>
      <w:sz w:val="24"/>
      <w:szCs w:val="20"/>
    </w:rPr>
  </w:style>
  <w:style w:type="paragraph" w:customStyle="1" w:styleId="p15">
    <w:name w:val="p15"/>
    <w:basedOn w:val="Normal"/>
    <w:next w:val="toc412"/>
    <w:qFormat/>
    <w:pPr>
      <w:widowControl/>
      <w:ind w:firstLine="420"/>
    </w:pPr>
    <w:rPr>
      <w:rFonts w:hAnsi="Calibri"/>
      <w:kern w:val="0"/>
      <w:szCs w:val="20"/>
    </w:rPr>
  </w:style>
  <w:style w:type="paragraph" w:customStyle="1" w:styleId="xl87">
    <w:name w:val="xl87"/>
    <w:basedOn w:val="Normal"/>
    <w:next w:val="toc98"/>
    <w:qFormat/>
    <w:pPr>
      <w:widowControl/>
      <w:shd w:val="clear" w:color="000000" w:fill="FFFFFF"/>
      <w:spacing w:before="280" w:after="280"/>
    </w:pPr>
    <w:rPr>
      <w:rFonts w:ascii="Arial" w:hAnsi="Calibri"/>
      <w:kern w:val="0"/>
      <w:sz w:val="18"/>
      <w:szCs w:val="20"/>
    </w:rPr>
  </w:style>
  <w:style w:type="paragraph" w:customStyle="1" w:styleId="toc98">
    <w:name w:val="toc 98"/>
    <w:next w:val="Normal"/>
    <w:qFormat/>
    <w:pPr>
      <w:wordWrap w:val="0"/>
      <w:ind w:left="3400"/>
      <w:jc w:val="both"/>
    </w:pPr>
    <w:rPr>
      <w:rFonts w:ascii="Calibri" w:eastAsia="宋体" w:hAnsi="Calibri" w:cs="Times New Roman"/>
      <w:sz w:val="21"/>
      <w:lang w:val="en-US" w:eastAsia="zh-CN" w:bidi="ar-SA"/>
    </w:rPr>
  </w:style>
  <w:style w:type="paragraph" w:customStyle="1" w:styleId="70">
    <w:name w:val="列出段落7"/>
    <w:basedOn w:val="Normal"/>
    <w:next w:val="toc58"/>
    <w:qFormat/>
    <w:pPr>
      <w:ind w:firstLine="420"/>
    </w:pPr>
    <w:rPr>
      <w:rFonts w:hAnsi="Calibri"/>
      <w:kern w:val="0"/>
      <w:szCs w:val="20"/>
    </w:rPr>
  </w:style>
  <w:style w:type="paragraph" w:customStyle="1" w:styleId="xl78">
    <w:name w:val="xl78"/>
    <w:basedOn w:val="Normal"/>
    <w:next w:val="toc710"/>
    <w:qFormat/>
    <w:pPr>
      <w:widowControl/>
      <w:shd w:val="clear" w:color="000000" w:fill="FFFFFF"/>
      <w:spacing w:before="280" w:after="280"/>
    </w:pPr>
    <w:rPr>
      <w:rFonts w:ascii="宋体" w:hAnsi="Calibri"/>
      <w:b/>
      <w:kern w:val="0"/>
      <w:sz w:val="20"/>
      <w:szCs w:val="20"/>
    </w:rPr>
  </w:style>
  <w:style w:type="paragraph" w:customStyle="1" w:styleId="toc516">
    <w:name w:val="toc 516"/>
    <w:next w:val="Normal"/>
    <w:qFormat/>
    <w:pPr>
      <w:wordWrap w:val="0"/>
      <w:ind w:left="1700"/>
      <w:jc w:val="both"/>
    </w:pPr>
    <w:rPr>
      <w:rFonts w:ascii="Calibri" w:eastAsia="宋体" w:hAnsi="Calibri" w:cs="Times New Roman"/>
      <w:sz w:val="21"/>
      <w:lang w:val="en-US" w:eastAsia="zh-CN" w:bidi="ar-SA"/>
    </w:rPr>
  </w:style>
  <w:style w:type="paragraph" w:customStyle="1" w:styleId="xl89">
    <w:name w:val="xl89"/>
    <w:basedOn w:val="Normal"/>
    <w:next w:val="toc811"/>
    <w:qFormat/>
    <w:pPr>
      <w:widowControl/>
      <w:shd w:val="clear" w:color="000000" w:fill="FFFFFF"/>
      <w:spacing w:before="280" w:after="280"/>
    </w:pPr>
    <w:rPr>
      <w:rFonts w:ascii="宋体" w:hAnsi="Calibri"/>
      <w:kern w:val="0"/>
      <w:sz w:val="20"/>
      <w:szCs w:val="20"/>
    </w:rPr>
  </w:style>
  <w:style w:type="paragraph" w:customStyle="1" w:styleId="toc910">
    <w:name w:val="toc 910"/>
    <w:next w:val="Normal"/>
    <w:qFormat/>
    <w:pPr>
      <w:wordWrap w:val="0"/>
      <w:ind w:left="3400"/>
      <w:jc w:val="both"/>
    </w:pPr>
    <w:rPr>
      <w:rFonts w:ascii="Calibri" w:eastAsia="宋体" w:hAnsi="Calibri" w:cs="Times New Roman"/>
      <w:sz w:val="21"/>
      <w:lang w:val="en-US" w:eastAsia="zh-CN" w:bidi="ar-SA"/>
    </w:rPr>
  </w:style>
  <w:style w:type="paragraph" w:customStyle="1" w:styleId="toc34">
    <w:name w:val="toc 34"/>
    <w:next w:val="Normal"/>
    <w:qFormat/>
    <w:pPr>
      <w:wordWrap w:val="0"/>
      <w:ind w:left="850"/>
      <w:jc w:val="both"/>
    </w:pPr>
    <w:rPr>
      <w:rFonts w:ascii="Calibri" w:eastAsia="宋体" w:hAnsi="Calibri" w:cs="Times New Roman"/>
      <w:sz w:val="21"/>
      <w:lang w:val="en-US" w:eastAsia="zh-CN" w:bidi="ar-SA"/>
    </w:rPr>
  </w:style>
  <w:style w:type="paragraph" w:customStyle="1" w:styleId="toc816">
    <w:name w:val="toc 816"/>
    <w:next w:val="Normal"/>
    <w:qFormat/>
    <w:pPr>
      <w:wordWrap w:val="0"/>
      <w:ind w:left="2975"/>
      <w:jc w:val="both"/>
    </w:pPr>
    <w:rPr>
      <w:rFonts w:ascii="Calibri" w:eastAsia="宋体" w:hAnsi="Calibri" w:cs="Times New Roman"/>
      <w:sz w:val="21"/>
      <w:lang w:val="en-US" w:eastAsia="zh-CN" w:bidi="ar-SA"/>
    </w:rPr>
  </w:style>
  <w:style w:type="paragraph" w:customStyle="1" w:styleId="toc43">
    <w:name w:val="toc 43"/>
    <w:next w:val="Normal"/>
    <w:qFormat/>
    <w:pPr>
      <w:wordWrap w:val="0"/>
      <w:ind w:left="1275"/>
      <w:jc w:val="both"/>
    </w:pPr>
    <w:rPr>
      <w:rFonts w:ascii="Calibri" w:eastAsia="宋体" w:hAnsi="Calibri" w:cs="Times New Roman"/>
      <w:sz w:val="21"/>
      <w:lang w:val="en-US" w:eastAsia="zh-CN" w:bidi="ar-SA"/>
    </w:rPr>
  </w:style>
  <w:style w:type="paragraph" w:customStyle="1" w:styleId="toc16">
    <w:name w:val="toc 16"/>
    <w:next w:val="Normal"/>
    <w:qFormat/>
    <w:pPr>
      <w:wordWrap w:val="0"/>
      <w:jc w:val="both"/>
    </w:pPr>
    <w:rPr>
      <w:rFonts w:ascii="Calibri" w:eastAsia="宋体" w:hAnsi="Calibri" w:cs="Times New Roman"/>
      <w:sz w:val="21"/>
      <w:lang w:val="en-US" w:eastAsia="zh-CN" w:bidi="ar-SA"/>
    </w:rPr>
  </w:style>
  <w:style w:type="paragraph" w:styleId="Quote">
    <w:name w:val="Quote"/>
    <w:next w:val="Normal"/>
    <w:link w:val="Char22"/>
    <w:qFormat/>
    <w:pPr>
      <w:wordWrap w:val="0"/>
      <w:spacing w:before="200" w:after="160"/>
      <w:ind w:left="864" w:right="864"/>
      <w:jc w:val="center"/>
    </w:pPr>
    <w:rPr>
      <w:rFonts w:ascii="Calibri" w:eastAsia="宋体" w:hAnsi="Calibri" w:cs="Times New Roman"/>
      <w:i/>
      <w:sz w:val="21"/>
      <w:lang w:val="en-US" w:eastAsia="zh-CN" w:bidi="ar-SA"/>
    </w:rPr>
  </w:style>
  <w:style w:type="character" w:customStyle="1" w:styleId="Char22">
    <w:name w:val="引用 Char"/>
    <w:basedOn w:val="DefaultParagraphFont"/>
    <w:link w:val="Quote"/>
    <w:qFormat/>
    <w:rPr>
      <w:rFonts w:ascii="Calibri" w:hAnsi="Calibri"/>
      <w:i/>
      <w:sz w:val="21"/>
    </w:rPr>
  </w:style>
  <w:style w:type="paragraph" w:customStyle="1" w:styleId="toc114">
    <w:name w:val="toc 114"/>
    <w:next w:val="Normal"/>
    <w:qFormat/>
    <w:pPr>
      <w:wordWrap w:val="0"/>
      <w:jc w:val="both"/>
    </w:pPr>
    <w:rPr>
      <w:rFonts w:ascii="Calibri" w:eastAsia="宋体" w:hAnsi="Calibri" w:cs="Times New Roman"/>
      <w:sz w:val="21"/>
      <w:lang w:val="en-US" w:eastAsia="zh-CN" w:bidi="ar-SA"/>
    </w:rPr>
  </w:style>
  <w:style w:type="paragraph" w:customStyle="1" w:styleId="xl119">
    <w:name w:val="xl119"/>
    <w:basedOn w:val="Normal"/>
    <w:next w:val="toc314"/>
    <w:qFormat/>
    <w:pPr>
      <w:widowControl/>
      <w:shd w:val="clear" w:color="000000" w:fill="FFFFFF"/>
      <w:spacing w:before="280" w:after="280"/>
      <w:jc w:val="center"/>
    </w:pPr>
    <w:rPr>
      <w:rFonts w:ascii="宋体" w:hAnsi="Calibri"/>
      <w:b/>
      <w:kern w:val="0"/>
      <w:sz w:val="20"/>
      <w:szCs w:val="20"/>
    </w:rPr>
  </w:style>
  <w:style w:type="paragraph" w:customStyle="1" w:styleId="toc37">
    <w:name w:val="toc 37"/>
    <w:next w:val="Normal"/>
    <w:qFormat/>
    <w:pPr>
      <w:wordWrap w:val="0"/>
      <w:ind w:left="850"/>
      <w:jc w:val="both"/>
    </w:pPr>
    <w:rPr>
      <w:rFonts w:ascii="Calibri" w:eastAsia="宋体" w:hAnsi="Calibri" w:cs="Times New Roman"/>
      <w:sz w:val="21"/>
      <w:lang w:val="en-US" w:eastAsia="zh-CN" w:bidi="ar-SA"/>
    </w:rPr>
  </w:style>
  <w:style w:type="paragraph" w:customStyle="1" w:styleId="xl109">
    <w:name w:val="xl109"/>
    <w:basedOn w:val="Normal"/>
    <w:next w:val="toc27"/>
    <w:qFormat/>
    <w:pPr>
      <w:widowControl/>
      <w:shd w:val="clear" w:color="000000" w:fill="FFFFFF"/>
      <w:spacing w:before="280" w:after="280"/>
    </w:pPr>
    <w:rPr>
      <w:rFonts w:ascii="宋体" w:hAnsi="Calibri"/>
      <w:kern w:val="0"/>
      <w:sz w:val="20"/>
      <w:szCs w:val="20"/>
    </w:rPr>
  </w:style>
  <w:style w:type="paragraph" w:customStyle="1" w:styleId="toc215">
    <w:name w:val="toc 215"/>
    <w:next w:val="Normal"/>
    <w:qFormat/>
    <w:pPr>
      <w:wordWrap w:val="0"/>
      <w:ind w:left="425"/>
      <w:jc w:val="both"/>
    </w:pPr>
    <w:rPr>
      <w:rFonts w:ascii="Calibri" w:eastAsia="宋体" w:hAnsi="Calibri" w:cs="Times New Roman"/>
      <w:sz w:val="21"/>
      <w:lang w:val="en-US" w:eastAsia="zh-CN" w:bidi="ar-SA"/>
    </w:rPr>
  </w:style>
  <w:style w:type="paragraph" w:customStyle="1" w:styleId="xl76">
    <w:name w:val="xl76"/>
    <w:basedOn w:val="Normal"/>
    <w:next w:val="toc315"/>
    <w:qFormat/>
    <w:pPr>
      <w:widowControl/>
      <w:shd w:val="clear" w:color="000000" w:fill="FFFFFF"/>
      <w:spacing w:before="280" w:after="280"/>
      <w:jc w:val="center"/>
    </w:pPr>
    <w:rPr>
      <w:rFonts w:ascii="宋体" w:hAnsi="Calibri"/>
      <w:b/>
      <w:kern w:val="0"/>
      <w:sz w:val="20"/>
      <w:szCs w:val="20"/>
    </w:rPr>
  </w:style>
  <w:style w:type="paragraph" w:customStyle="1" w:styleId="toc92">
    <w:name w:val="toc 92"/>
    <w:next w:val="Normal"/>
    <w:qFormat/>
    <w:pPr>
      <w:wordWrap w:val="0"/>
      <w:ind w:left="3400"/>
      <w:jc w:val="both"/>
    </w:pPr>
    <w:rPr>
      <w:rFonts w:ascii="Calibri" w:eastAsia="宋体" w:hAnsi="Calibri" w:cs="Times New Roman"/>
      <w:sz w:val="21"/>
      <w:lang w:val="en-US" w:eastAsia="zh-CN" w:bidi="ar-SA"/>
    </w:rPr>
  </w:style>
  <w:style w:type="paragraph" w:customStyle="1" w:styleId="toc216">
    <w:name w:val="toc 216"/>
    <w:next w:val="Normal"/>
    <w:qFormat/>
    <w:pPr>
      <w:wordWrap w:val="0"/>
      <w:ind w:left="425"/>
      <w:jc w:val="both"/>
    </w:pPr>
    <w:rPr>
      <w:rFonts w:ascii="Calibri" w:eastAsia="宋体" w:hAnsi="Calibri" w:cs="Times New Roman"/>
      <w:sz w:val="21"/>
      <w:lang w:val="en-US" w:eastAsia="zh-CN" w:bidi="ar-SA"/>
    </w:rPr>
  </w:style>
  <w:style w:type="paragraph" w:customStyle="1" w:styleId="xl70">
    <w:name w:val="xl70"/>
    <w:basedOn w:val="Normal"/>
    <w:next w:val="toc113"/>
    <w:qFormat/>
    <w:pPr>
      <w:widowControl/>
      <w:shd w:val="clear" w:color="000000" w:fill="FFFFFF"/>
      <w:spacing w:before="280" w:after="280"/>
    </w:pPr>
    <w:rPr>
      <w:rFonts w:ascii="宋体" w:hAnsi="Calibri"/>
      <w:kern w:val="0"/>
      <w:sz w:val="20"/>
      <w:szCs w:val="20"/>
    </w:rPr>
  </w:style>
  <w:style w:type="paragraph" w:customStyle="1" w:styleId="toc33">
    <w:name w:val="toc 33"/>
    <w:next w:val="Normal"/>
    <w:qFormat/>
    <w:pPr>
      <w:wordWrap w:val="0"/>
      <w:ind w:left="850"/>
      <w:jc w:val="both"/>
    </w:pPr>
    <w:rPr>
      <w:rFonts w:ascii="Calibri" w:eastAsia="宋体" w:hAnsi="Calibri" w:cs="Times New Roman"/>
      <w:sz w:val="21"/>
      <w:lang w:val="en-US" w:eastAsia="zh-CN" w:bidi="ar-SA"/>
    </w:rPr>
  </w:style>
  <w:style w:type="paragraph" w:customStyle="1" w:styleId="toc61">
    <w:name w:val="toc 61"/>
    <w:next w:val="Normal"/>
    <w:qFormat/>
    <w:pPr>
      <w:wordWrap w:val="0"/>
      <w:ind w:left="2125"/>
      <w:jc w:val="both"/>
    </w:pPr>
    <w:rPr>
      <w:rFonts w:ascii="Calibri" w:eastAsia="宋体" w:hAnsi="Calibri" w:cs="Times New Roman"/>
      <w:sz w:val="21"/>
      <w:lang w:val="en-US" w:eastAsia="zh-CN" w:bidi="ar-SA"/>
    </w:rPr>
  </w:style>
  <w:style w:type="paragraph" w:customStyle="1" w:styleId="xl98">
    <w:name w:val="xl98"/>
    <w:basedOn w:val="Normal"/>
    <w:next w:val="toc211"/>
    <w:qFormat/>
    <w:pPr>
      <w:widowControl/>
      <w:shd w:val="clear" w:color="000000" w:fill="FFFFFF"/>
      <w:spacing w:before="280" w:after="280"/>
      <w:jc w:val="center"/>
    </w:pPr>
    <w:rPr>
      <w:rFonts w:ascii="宋体" w:hAnsi="Calibri"/>
      <w:kern w:val="0"/>
      <w:sz w:val="20"/>
      <w:szCs w:val="20"/>
    </w:rPr>
  </w:style>
  <w:style w:type="paragraph" w:customStyle="1" w:styleId="toc26">
    <w:name w:val="toc 26"/>
    <w:next w:val="Normal"/>
    <w:qFormat/>
    <w:pPr>
      <w:wordWrap w:val="0"/>
      <w:ind w:left="425"/>
      <w:jc w:val="both"/>
    </w:pPr>
    <w:rPr>
      <w:rFonts w:ascii="Calibri" w:eastAsia="宋体" w:hAnsi="Calibri" w:cs="Times New Roman"/>
      <w:sz w:val="21"/>
      <w:lang w:val="en-US" w:eastAsia="zh-CN" w:bidi="ar-SA"/>
    </w:rPr>
  </w:style>
  <w:style w:type="paragraph" w:customStyle="1" w:styleId="toc13">
    <w:name w:val="toc 13"/>
    <w:next w:val="Normal"/>
    <w:qFormat/>
    <w:pPr>
      <w:wordWrap w:val="0"/>
      <w:jc w:val="both"/>
    </w:pPr>
    <w:rPr>
      <w:rFonts w:ascii="Calibri" w:eastAsia="宋体" w:hAnsi="Calibri" w:cs="Times New Roman"/>
      <w:sz w:val="21"/>
      <w:lang w:val="en-US" w:eastAsia="zh-CN" w:bidi="ar-SA"/>
    </w:rPr>
  </w:style>
  <w:style w:type="paragraph" w:customStyle="1" w:styleId="51">
    <w:name w:val="目录 51"/>
    <w:next w:val="Normal"/>
    <w:qFormat/>
    <w:pPr>
      <w:wordWrap w:val="0"/>
      <w:ind w:left="1700"/>
      <w:jc w:val="both"/>
    </w:pPr>
    <w:rPr>
      <w:rFonts w:ascii="Calibri" w:eastAsia="宋体" w:hAnsi="Calibri" w:cs="Times New Roman"/>
      <w:sz w:val="21"/>
      <w:lang w:val="en-US" w:eastAsia="zh-CN" w:bidi="ar-SA"/>
    </w:rPr>
  </w:style>
  <w:style w:type="paragraph" w:customStyle="1" w:styleId="xl101">
    <w:name w:val="xl101"/>
    <w:basedOn w:val="Normal"/>
    <w:next w:val="toc96"/>
    <w:qFormat/>
    <w:pPr>
      <w:widowControl/>
      <w:spacing w:before="280" w:after="280"/>
    </w:pPr>
    <w:rPr>
      <w:rFonts w:ascii="宋体" w:hAnsi="Calibri"/>
      <w:kern w:val="0"/>
      <w:sz w:val="20"/>
      <w:szCs w:val="20"/>
    </w:rPr>
  </w:style>
  <w:style w:type="paragraph" w:customStyle="1" w:styleId="toc75">
    <w:name w:val="toc 75"/>
    <w:next w:val="Normal"/>
    <w:qFormat/>
    <w:pPr>
      <w:wordWrap w:val="0"/>
      <w:ind w:left="2550"/>
      <w:jc w:val="both"/>
    </w:pPr>
    <w:rPr>
      <w:rFonts w:ascii="Calibri" w:eastAsia="宋体" w:hAnsi="Calibri" w:cs="Times New Roman"/>
      <w:sz w:val="21"/>
      <w:lang w:val="en-US" w:eastAsia="zh-CN" w:bidi="ar-SA"/>
    </w:rPr>
  </w:style>
  <w:style w:type="paragraph" w:customStyle="1" w:styleId="toc715">
    <w:name w:val="toc 715"/>
    <w:next w:val="Normal"/>
    <w:qFormat/>
    <w:pPr>
      <w:wordWrap w:val="0"/>
      <w:ind w:left="2550"/>
      <w:jc w:val="both"/>
    </w:pPr>
    <w:rPr>
      <w:rFonts w:ascii="Calibri" w:eastAsia="宋体" w:hAnsi="Calibri" w:cs="Times New Roman"/>
      <w:sz w:val="21"/>
      <w:lang w:val="en-US" w:eastAsia="zh-CN" w:bidi="ar-SA"/>
    </w:rPr>
  </w:style>
  <w:style w:type="paragraph" w:styleId="IntenseQuote">
    <w:name w:val="Intense Quote"/>
    <w:next w:val="Normal"/>
    <w:link w:val="Char23"/>
    <w:qFormat/>
    <w:pPr>
      <w:wordWrap w:val="0"/>
      <w:spacing w:before="360" w:after="360"/>
      <w:ind w:left="950" w:right="950"/>
      <w:jc w:val="center"/>
    </w:pPr>
    <w:rPr>
      <w:rFonts w:ascii="Calibri" w:eastAsia="宋体" w:hAnsi="Calibri" w:cs="Times New Roman"/>
      <w:i/>
      <w:sz w:val="21"/>
      <w:lang w:val="en-US" w:eastAsia="zh-CN" w:bidi="ar-SA"/>
    </w:rPr>
  </w:style>
  <w:style w:type="character" w:customStyle="1" w:styleId="Char23">
    <w:name w:val="明显引用 Char"/>
    <w:basedOn w:val="DefaultParagraphFont"/>
    <w:link w:val="IntenseQuote"/>
    <w:qFormat/>
    <w:rPr>
      <w:rFonts w:ascii="Calibri" w:hAnsi="Calibri"/>
      <w:i/>
      <w:sz w:val="21"/>
    </w:rPr>
  </w:style>
  <w:style w:type="paragraph" w:customStyle="1" w:styleId="CharCharCharCharCharCharChar">
    <w:name w:val="Char Char Char Char Char Char Char"/>
    <w:basedOn w:val="Normal"/>
    <w:next w:val="toc215"/>
    <w:qFormat/>
    <w:pPr>
      <w:widowControl/>
      <w:spacing w:after="160" w:line="240" w:lineRule="exact"/>
    </w:pPr>
    <w:rPr>
      <w:rFonts w:hAnsi="Calibri"/>
      <w:kern w:val="0"/>
      <w:szCs w:val="20"/>
    </w:rPr>
  </w:style>
  <w:style w:type="paragraph" w:customStyle="1" w:styleId="toc23">
    <w:name w:val="toc 23"/>
    <w:next w:val="Normal"/>
    <w:qFormat/>
    <w:pPr>
      <w:wordWrap w:val="0"/>
      <w:ind w:left="425"/>
      <w:jc w:val="both"/>
    </w:pPr>
    <w:rPr>
      <w:rFonts w:ascii="Calibri" w:eastAsia="宋体" w:hAnsi="Calibri" w:cs="Times New Roman"/>
      <w:sz w:val="21"/>
      <w:lang w:val="en-US" w:eastAsia="zh-CN" w:bidi="ar-SA"/>
    </w:rPr>
  </w:style>
  <w:style w:type="paragraph" w:customStyle="1" w:styleId="61">
    <w:name w:val="目录 61"/>
    <w:next w:val="Normal"/>
    <w:qFormat/>
    <w:pPr>
      <w:wordWrap w:val="0"/>
      <w:ind w:left="2125"/>
      <w:jc w:val="both"/>
    </w:pPr>
    <w:rPr>
      <w:rFonts w:ascii="Calibri" w:eastAsia="宋体" w:hAnsi="Calibri" w:cs="Times New Roman"/>
      <w:sz w:val="21"/>
      <w:lang w:val="en-US" w:eastAsia="zh-CN" w:bidi="ar-SA"/>
    </w:rPr>
  </w:style>
  <w:style w:type="paragraph" w:customStyle="1" w:styleId="toc97">
    <w:name w:val="toc 97"/>
    <w:next w:val="Normal"/>
    <w:qFormat/>
    <w:pPr>
      <w:wordWrap w:val="0"/>
      <w:ind w:left="3400"/>
      <w:jc w:val="both"/>
    </w:pPr>
    <w:rPr>
      <w:rFonts w:ascii="Calibri" w:eastAsia="宋体" w:hAnsi="Calibri" w:cs="Times New Roman"/>
      <w:sz w:val="21"/>
      <w:lang w:val="en-US" w:eastAsia="zh-CN" w:bidi="ar-SA"/>
    </w:rPr>
  </w:style>
  <w:style w:type="paragraph" w:customStyle="1" w:styleId="toc74">
    <w:name w:val="toc 74"/>
    <w:next w:val="Normal"/>
    <w:qFormat/>
    <w:pPr>
      <w:wordWrap w:val="0"/>
      <w:ind w:left="2550"/>
      <w:jc w:val="both"/>
    </w:pPr>
    <w:rPr>
      <w:rFonts w:ascii="Calibri" w:eastAsia="宋体" w:hAnsi="Calibri" w:cs="Times New Roman"/>
      <w:sz w:val="21"/>
      <w:lang w:val="en-US" w:eastAsia="zh-CN" w:bidi="ar-SA"/>
    </w:rPr>
  </w:style>
  <w:style w:type="paragraph" w:customStyle="1" w:styleId="xl64">
    <w:name w:val="xl64"/>
    <w:basedOn w:val="Normal"/>
    <w:next w:val="toc114"/>
    <w:qFormat/>
    <w:pPr>
      <w:widowControl/>
      <w:shd w:val="clear" w:color="000000" w:fill="FFFFFF"/>
      <w:spacing w:before="280" w:after="280"/>
    </w:pPr>
    <w:rPr>
      <w:rFonts w:ascii="宋体" w:hAnsi="Calibri"/>
      <w:kern w:val="0"/>
      <w:sz w:val="20"/>
      <w:szCs w:val="20"/>
    </w:rPr>
  </w:style>
  <w:style w:type="paragraph" w:customStyle="1" w:styleId="xl82">
    <w:name w:val="xl82"/>
    <w:basedOn w:val="Normal"/>
    <w:next w:val="toc313"/>
    <w:qFormat/>
    <w:pPr>
      <w:widowControl/>
      <w:shd w:val="clear" w:color="000000" w:fill="FFFFFF"/>
      <w:spacing w:before="280" w:after="280"/>
    </w:pPr>
    <w:rPr>
      <w:rFonts w:ascii="宋体" w:hAnsi="Calibri"/>
      <w:kern w:val="0"/>
      <w:sz w:val="20"/>
      <w:szCs w:val="20"/>
    </w:rPr>
  </w:style>
  <w:style w:type="paragraph" w:customStyle="1" w:styleId="toc32">
    <w:name w:val="toc 32"/>
    <w:next w:val="Normal"/>
    <w:qFormat/>
    <w:pPr>
      <w:wordWrap w:val="0"/>
      <w:ind w:left="850"/>
      <w:jc w:val="both"/>
    </w:pPr>
    <w:rPr>
      <w:rFonts w:ascii="Calibri" w:eastAsia="宋体" w:hAnsi="Calibri" w:cs="Times New Roman"/>
      <w:sz w:val="21"/>
      <w:lang w:val="en-US" w:eastAsia="zh-CN" w:bidi="ar-SA"/>
    </w:rPr>
  </w:style>
  <w:style w:type="paragraph" w:customStyle="1" w:styleId="xl77">
    <w:name w:val="xl77"/>
    <w:basedOn w:val="Normal"/>
    <w:next w:val="toc910"/>
    <w:qFormat/>
    <w:pPr>
      <w:widowControl/>
      <w:shd w:val="clear" w:color="000000" w:fill="FFFFFF"/>
      <w:spacing w:before="280" w:after="280"/>
      <w:jc w:val="center"/>
    </w:pPr>
    <w:rPr>
      <w:rFonts w:ascii="宋体" w:hAnsi="Calibri"/>
      <w:kern w:val="0"/>
      <w:sz w:val="20"/>
      <w:szCs w:val="20"/>
    </w:rPr>
  </w:style>
  <w:style w:type="character" w:customStyle="1" w:styleId="Char119">
    <w:name w:val="正文缩进 Char1"/>
    <w:qFormat/>
    <w:rPr>
      <w:rFonts w:eastAsia="宋体"/>
      <w:kern w:val="2"/>
      <w:sz w:val="21"/>
      <w:lang w:val="en-US" w:eastAsia="zh-CN" w:bidi="ar-SA"/>
    </w:rPr>
  </w:style>
  <w:style w:type="character" w:customStyle="1" w:styleId="fielderror">
    <w:name w:val="fielderror"/>
    <w:basedOn w:val="DefaultParagraphFont"/>
    <w:qFormat/>
    <w:rPr>
      <w:color w:val="800000"/>
    </w:rPr>
  </w:style>
  <w:style w:type="character" w:customStyle="1" w:styleId="hilite6">
    <w:name w:val="hilite6"/>
    <w:basedOn w:val="DefaultParagraphFont"/>
    <w:qFormat/>
    <w:rPr>
      <w:color w:val="000000"/>
    </w:rPr>
  </w:style>
  <w:style w:type="character" w:customStyle="1" w:styleId="active6">
    <w:name w:val="active6"/>
    <w:basedOn w:val="DefaultParagraphFont"/>
    <w:qFormat/>
    <w:rPr>
      <w:color w:val="FFFFFF"/>
    </w:rPr>
  </w:style>
  <w:style w:type="character" w:customStyle="1" w:styleId="inline-help">
    <w:name w:val="inline-help"/>
    <w:basedOn w:val="DefaultParagraphFont"/>
    <w:qFormat/>
  </w:style>
  <w:style w:type="character" w:customStyle="1" w:styleId="active">
    <w:name w:val="active"/>
    <w:basedOn w:val="DefaultParagraphFont"/>
    <w:qFormat/>
    <w:rPr>
      <w:color w:val="FFFFFF"/>
    </w:rPr>
  </w:style>
  <w:style w:type="character" w:customStyle="1" w:styleId="112">
    <w:name w:val="未处理的提及1"/>
    <w:basedOn w:val="DefaultParagraphFont"/>
    <w:uiPriority w:val="99"/>
    <w:semiHidden/>
    <w:unhideWhenUsed/>
    <w:qFormat/>
    <w:rPr>
      <w:color w:val="605E5C"/>
      <w:shd w:val="clear" w:color="auto" w:fill="E1DFDD"/>
    </w:rPr>
  </w:style>
  <w:style w:type="paragraph" w:customStyle="1" w:styleId="22">
    <w:name w:val="修订2"/>
    <w:hidden/>
    <w:uiPriority w:val="99"/>
    <w:semiHidden/>
    <w:qFormat/>
    <w:rPr>
      <w:rFonts w:ascii="Times New Roman" w:eastAsia="宋体" w:hAnsi="Times New Roman" w:cs="Times New Roman"/>
      <w:kern w:val="2"/>
      <w:sz w:val="21"/>
      <w:szCs w:val="24"/>
      <w:lang w:val="en-US" w:eastAsia="zh-CN" w:bidi="ar-SA"/>
    </w:r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91">
    <w:name w:val="font91"/>
    <w:qFormat/>
    <w:rPr>
      <w:rFonts w:ascii="Malgun Gothic" w:eastAsia="Malgun Gothic" w:hAnsi="Malgun Gothic" w:cs="Malgun Gothic"/>
      <w:color w:val="000000"/>
      <w:sz w:val="18"/>
      <w:szCs w:val="18"/>
      <w:u w:val="none"/>
    </w:rPr>
  </w:style>
  <w:style w:type="character" w:customStyle="1" w:styleId="font101">
    <w:name w:val="font101"/>
    <w:qFormat/>
    <w:rPr>
      <w:rFonts w:ascii="宋体" w:eastAsia="宋体" w:hAnsi="宋体" w:cs="宋体" w:hint="eastAsia"/>
      <w:color w:val="FF0000"/>
      <w:sz w:val="20"/>
      <w:szCs w:val="20"/>
      <w:u w:val="none"/>
    </w:rPr>
  </w:style>
  <w:style w:type="character" w:customStyle="1" w:styleId="font151">
    <w:name w:val="font151"/>
    <w:qFormat/>
    <w:rPr>
      <w:rFonts w:ascii="宋体" w:eastAsia="宋体" w:hAnsi="宋体" w:cs="宋体" w:hint="eastAsia"/>
      <w:color w:val="000000"/>
      <w:sz w:val="21"/>
      <w:szCs w:val="21"/>
      <w:u w:val="none"/>
      <w:vertAlign w:val="subscript"/>
    </w:rPr>
  </w:style>
  <w:style w:type="character" w:customStyle="1" w:styleId="font121">
    <w:name w:val="font121"/>
    <w:qFormat/>
    <w:rPr>
      <w:rFonts w:ascii="Times New Roman" w:hAnsi="Times New Roman" w:cs="Times New Roman" w:hint="default"/>
      <w:color w:val="000000"/>
      <w:sz w:val="20"/>
      <w:szCs w:val="20"/>
      <w:u w:val="none"/>
    </w:rPr>
  </w:style>
  <w:style w:type="paragraph" w:customStyle="1" w:styleId="32">
    <w:name w:val="修订3"/>
    <w:hidden/>
    <w:uiPriority w:val="99"/>
    <w:unhideWhenUsed/>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51505-B62A-4018-B23C-6E4A8A2BE436}">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64</Pages>
  <Words>63997</Words>
  <Characters>72068</Characters>
  <Application>Microsoft Office Word</Application>
  <DocSecurity>0</DocSecurity>
  <Lines>438</Lines>
  <Paragraphs>123</Paragraphs>
  <ScaleCrop>false</ScaleCrop>
  <Company>Microsoft</Company>
  <LinksUpToDate>false</LinksUpToDate>
  <CharactersWithSpaces>73777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liaoshiy</cp:lastModifiedBy>
  <cp:revision>51</cp:revision>
  <cp:lastPrinted>2021-05-16T11:04:00Z</cp:lastPrinted>
  <dcterms:created xsi:type="dcterms:W3CDTF">2022-04-25T08:36:00Z</dcterms:created>
  <dcterms:modified xsi:type="dcterms:W3CDTF">2023-07-27T03:20:34Z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7E6038CD26184BCBAD72DC9CB07C6D80_13</vt:lpwstr>
  </property>
  <property fmtid="{D5CDD505-2E9C-101B-9397-08002B2CF9AE}" pid="3" name="KSOProductBuildVer">
    <vt:lpwstr>2052-11.1.0.14309</vt:lpwstr>
  </property>
</Properties>
</file>