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SZDL2023001819(CLF0123SZ15ZC13)</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项目名称：功能材料与器件-聚焦离子束电子束双束显微镜</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二○二三年八月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4676"/>
      <w:bookmarkStart w:id="2" w:name="_Toc435115363"/>
      <w:bookmarkStart w:id="3" w:name="_Toc292267790"/>
      <w:bookmarkStart w:id="4" w:name="_Toc435115051"/>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宋体" w:hAnsi="宋体" w:cs="宋体" w:hint="eastAsia"/>
          <w:bCs w:val="0"/>
          <w:caps w:val="0"/>
          <w:sz w:val="28"/>
          <w:szCs w:val="28"/>
        </w:rPr>
        <w:fldChar w:fldCharType="begin"/>
      </w:r>
      <w:r>
        <w:rPr>
          <w:rFonts w:ascii="宋体" w:hAnsi="宋体" w:cs="宋体" w:hint="eastAsia"/>
          <w:bCs w:val="0"/>
          <w:caps w:val="0"/>
          <w:sz w:val="28"/>
          <w:szCs w:val="28"/>
        </w:rPr>
        <w:instrText xml:space="preserve"> TOC \o "1-3" \h \z \u </w:instrText>
      </w:r>
      <w:r>
        <w:rPr>
          <w:rFonts w:ascii="宋体" w:hAnsi="宋体" w:cs="宋体" w:hint="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_Toc256000010 \h </w:instrText>
      </w:r>
      <w:r>
        <w:fldChar w:fldCharType="separate"/>
      </w:r>
      <w:r>
        <w:rPr>
          <w:rStyle w:val="Hyperlink"/>
        </w:rPr>
        <w:t>27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_Toc256000011 \h </w:instrText>
      </w:r>
      <w:r>
        <w:fldChar w:fldCharType="separate"/>
      </w:r>
      <w:r>
        <w:rPr>
          <w:rStyle w:val="Hyperlink"/>
        </w:rPr>
        <w:t>27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_Toc256000012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_Toc256000013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_Toc256000014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_Toc256000015 \h </w:instrText>
      </w:r>
      <w:r>
        <w:fldChar w:fldCharType="separate"/>
      </w:r>
      <w:r>
        <w:rPr>
          <w:rStyle w:val="Hyperlink"/>
        </w:rPr>
        <w:t>32</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_Toc256000016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_Toc256000017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_Toc256000018 \h </w:instrText>
      </w:r>
      <w:r>
        <w:fldChar w:fldCharType="separate"/>
      </w:r>
      <w:r>
        <w:rPr>
          <w:rStyle w:val="Hyperlink"/>
        </w:rPr>
        <w:t>42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_Toc256000019 \h </w:instrText>
      </w:r>
      <w:r>
        <w:fldChar w:fldCharType="separate"/>
      </w:r>
      <w:r>
        <w:rPr>
          <w:rStyle w:val="Hyperlink"/>
        </w:rPr>
        <w:t>47</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_Toc256000020 \h </w:instrText>
      </w:r>
      <w:r>
        <w:fldChar w:fldCharType="separate"/>
      </w:r>
      <w:r>
        <w:rPr>
          <w:rStyle w:val="Hyperlink"/>
        </w:rPr>
        <w:t>51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_Toc256000021 \h </w:instrText>
      </w:r>
      <w:r>
        <w:fldChar w:fldCharType="separate"/>
      </w:r>
      <w:r>
        <w:rPr>
          <w:rStyle w:val="Hyperlink"/>
        </w:rPr>
        <w:t>51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_Toc256000022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_Toc256000023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_Toc256000024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_Toc256000025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_Toc256000026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_Toc256000027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_Toc256000028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_Toc256000029 \h </w:instrText>
      </w:r>
      <w:r>
        <w:fldChar w:fldCharType="separate"/>
      </w:r>
      <w:r>
        <w:rPr>
          <w:rStyle w:val="Hyperlink"/>
        </w:rPr>
        <w:t>60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_Toc256000030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_Toc256000031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投标人近三年同类业绩（以合同签订时间为准）</w:t>
      </w:r>
      <w:r>
        <w:rPr>
          <w:rStyle w:val="Hyperlink"/>
        </w:rPr>
        <w:tab/>
      </w:r>
      <w:r>
        <w:fldChar w:fldCharType="begin"/>
      </w:r>
      <w:r>
        <w:rPr>
          <w:rStyle w:val="Hyperlink"/>
        </w:rPr>
        <w:instrText xml:space="preserve"> PAGEREF _Toc256000032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_Toc256000033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_Toc256000034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_Toc256000035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_Toc256000036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_Toc256000037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_Toc256000038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_Toc256000039 \h </w:instrText>
      </w:r>
      <w:r>
        <w:fldChar w:fldCharType="separate"/>
      </w:r>
      <w:r>
        <w:rPr>
          <w:rStyle w:val="Hyperlink"/>
        </w:rPr>
        <w:t>75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_Toc256000040 \h </w:instrText>
      </w:r>
      <w:r>
        <w:fldChar w:fldCharType="separate"/>
      </w:r>
      <w:r>
        <w:rPr>
          <w:rStyle w:val="Hyperlink"/>
        </w:rPr>
        <w:t>76</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_Toc256000041 \h </w:instrText>
      </w:r>
      <w:r>
        <w:fldChar w:fldCharType="separate"/>
      </w:r>
      <w:r>
        <w:rPr>
          <w:rStyle w:val="Hyperlink"/>
        </w:rPr>
        <w:t>77</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w:t>
      </w:r>
      <w:r>
        <w:rPr>
          <w:rStyle w:val="Hyperlink"/>
          <w:rFonts w:hint="eastAsia"/>
        </w:rPr>
        <w:t>政府采购违法行为风险知悉确认书</w:t>
      </w:r>
      <w:r>
        <w:rPr>
          <w:rStyle w:val="Hyperlink"/>
          <w:rFonts w:hint="eastAsia"/>
        </w:rPr>
        <w:t>》</w:t>
      </w:r>
      <w:r>
        <w:rPr>
          <w:rStyle w:val="Hyperlink"/>
          <w:rFonts w:hint="eastAsia"/>
        </w:rPr>
        <w:t>附件</w:t>
      </w:r>
      <w:r>
        <w:rPr>
          <w:rStyle w:val="Hyperlink"/>
        </w:rPr>
        <w:tab/>
      </w:r>
      <w:r>
        <w:fldChar w:fldCharType="begin"/>
      </w:r>
      <w:r>
        <w:rPr>
          <w:rStyle w:val="Hyperlink"/>
        </w:rPr>
        <w:instrText xml:space="preserve"> PAGEREF _Toc256000042 \h </w:instrText>
      </w:r>
      <w:r>
        <w:fldChar w:fldCharType="separate"/>
      </w:r>
      <w:r>
        <w:rPr>
          <w:rStyle w:val="Hyperlink"/>
        </w:rPr>
        <w:t>79</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_Toc256000043 \h </w:instrText>
      </w:r>
      <w:r>
        <w:fldChar w:fldCharType="separate"/>
      </w:r>
      <w:r>
        <w:rPr>
          <w:rStyle w:val="Hyperlink"/>
        </w:rPr>
        <w:t>80</w:t>
      </w:r>
      <w:r>
        <w:fldChar w:fldCharType="end"/>
      </w:r>
      <w:r>
        <w:fldChar w:fldCharType="end"/>
      </w:r>
    </w:p>
    <w:p>
      <w:pPr>
        <w:spacing w:line="360" w:lineRule="auto"/>
        <w:jc w:val="center"/>
        <w:rPr>
          <w:rFonts w:ascii="宋体" w:hAnsi="宋体" w:cs="宋体" w:hint="eastAsia"/>
          <w:bCs/>
          <w:caps/>
          <w:sz w:val="28"/>
          <w:szCs w:val="28"/>
        </w:rPr>
      </w:pPr>
      <w:r>
        <w:rPr>
          <w:rFonts w:ascii="宋体" w:hAnsi="宋体" w:cs="宋体" w:hint="eastAsia"/>
          <w:bCs/>
          <w:caps/>
          <w:sz w:val="28"/>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0049"/>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功能材料与器件-聚焦离子束电子束双束显微镜的潜在投标人应在（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13</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r>
        <w:rPr>
          <w:rFonts w:asciiTheme="minorEastAsia" w:eastAsiaTheme="minorEastAsia" w:hAnsiTheme="minorEastAsia" w:hint="eastAsia"/>
          <w:sz w:val="24"/>
        </w:rPr>
        <w:t>（</w:t>
      </w:r>
      <w:r>
        <w:rPr>
          <w:rFonts w:asciiTheme="minorEastAsia" w:eastAsiaTheme="minorEastAsia" w:hAnsiTheme="minorEastAsia" w:hint="eastAsia"/>
          <w:bCs/>
          <w:sz w:val="24"/>
        </w:rPr>
        <w:t>北京时间）前网上递交投标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35393790"/>
      <w:bookmarkStart w:id="11" w:name="_Toc28359079"/>
      <w:bookmarkStart w:id="12" w:name="_Toc10508"/>
      <w:bookmarkStart w:id="13" w:name="_Toc35393621"/>
      <w:bookmarkStart w:id="14" w:name="_Toc217"/>
      <w:bookmarkStart w:id="15" w:name="_Toc28359002"/>
      <w:bookmarkStart w:id="16" w:name="_Hlk24379207"/>
      <w:bookmarkStart w:id="17" w:name="_Toc256000001"/>
      <w:r>
        <w:rPr>
          <w:rFonts w:asciiTheme="minorEastAsia" w:eastAsiaTheme="minorEastAsia" w:hAnsiTheme="minorEastAsia" w:cs="宋体" w:hint="eastAsia"/>
          <w:b w:val="0"/>
          <w:sz w:val="24"/>
          <w:szCs w:val="24"/>
        </w:rPr>
        <w:t>一、项目基本情况</w:t>
      </w:r>
      <w:bookmarkEnd w:id="17"/>
      <w:bookmarkEnd w:id="10"/>
      <w:bookmarkEnd w:id="11"/>
      <w:bookmarkEnd w:id="12"/>
      <w:bookmarkEnd w:id="13"/>
      <w:bookmarkEnd w:id="14"/>
      <w:bookmarkEnd w:id="15"/>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SZDL2023001819(CLF0123SZ15ZC13)</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（二）项目名称：功能材料与器件-聚焦离子束电子束双束显微镜</w:t>
      </w:r>
    </w:p>
    <w:p>
      <w:pPr>
        <w:spacing w:line="360" w:lineRule="auto"/>
        <w:ind w:firstLine="420" w:firstLineChars="200"/>
        <w:rPr>
          <w:rFonts w:asciiTheme="minorEastAsia" w:eastAsiaTheme="minorEastAsia" w:hAnsiTheme="minorEastAsia"/>
          <w:sz w:val="24"/>
        </w:rPr>
      </w:pPr>
      <w:bookmarkEnd w:id="16"/>
      <w:r>
        <w:rPr>
          <w:rFonts w:asciiTheme="minorEastAsia" w:eastAsiaTheme="minorEastAsia" w:hAnsiTheme="minorEastAsia" w:hint="eastAsia"/>
          <w:sz w:val="24"/>
        </w:rPr>
        <w:t>（三）预算金额：人民币568.80万元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（四）最高限价：人民币568.80万元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（六）合同履行期限：签订合同后 540 天（日历日）内交货</w:t>
      </w:r>
      <w:r>
        <w:rPr>
          <w:rFonts w:ascii="宋体" w:hAnsi="宋体" w:cs="宋体" w:hint="eastAsia"/>
          <w:sz w:val="24"/>
        </w:rPr>
        <w:t>。</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w:t>
      </w:r>
      <w:r>
        <w:rPr>
          <w:rFonts w:ascii="宋体" w:hAnsi="宋体" w:cs="宋体" w:hint="eastAsia"/>
          <w:kern w:val="0"/>
          <w:sz w:val="24"/>
        </w:rPr>
        <w:t>接受投标人选用进口产品参与投标。</w:t>
      </w:r>
      <w:bookmarkStart w:id="18"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8"/>
      <w:r>
        <w:rPr>
          <w:rFonts w:ascii="宋体" w:hint="eastAsia"/>
          <w:bCs/>
          <w:sz w:val="24"/>
        </w:rPr>
        <w:t>。</w:t>
      </w:r>
      <w:bookmarkEnd w:id="9"/>
      <w:bookmarkStart w:id="19" w:name="_Hlk65850659"/>
      <w:bookmarkStart w:id="20" w:name="_Toc28359003"/>
      <w:bookmarkStart w:id="21" w:name="_Toc28359080"/>
      <w:bookmarkStart w:id="22" w:name="_Toc35393622"/>
      <w:bookmarkStart w:id="23" w:name="_Toc35393791"/>
    </w:p>
    <w:p>
      <w:pPr>
        <w:pStyle w:val="Heading2"/>
        <w:adjustRightInd w:val="0"/>
        <w:snapToGrid w:val="0"/>
        <w:spacing w:line="360" w:lineRule="auto"/>
        <w:rPr>
          <w:rFonts w:asciiTheme="minorEastAsia" w:eastAsiaTheme="minorEastAsia" w:hAnsiTheme="minorEastAsia" w:cs="宋体"/>
          <w:b w:val="0"/>
          <w:sz w:val="24"/>
          <w:szCs w:val="24"/>
        </w:rPr>
      </w:pPr>
      <w:bookmarkEnd w:id="19"/>
      <w:bookmarkStart w:id="24" w:name="_Toc30403"/>
      <w:bookmarkStart w:id="25" w:name="_Toc944"/>
      <w:bookmarkStart w:id="26" w:name="_Toc256000002"/>
      <w:r>
        <w:rPr>
          <w:rFonts w:asciiTheme="minorEastAsia" w:eastAsiaTheme="minorEastAsia" w:hAnsiTheme="minorEastAsia" w:cs="宋体" w:hint="eastAsia"/>
          <w:b w:val="0"/>
          <w:sz w:val="24"/>
          <w:szCs w:val="24"/>
        </w:rPr>
        <w:t>二、供应商的资格要求</w:t>
      </w:r>
      <w:bookmarkEnd w:id="26"/>
      <w:bookmarkEnd w:id="20"/>
      <w:bookmarkEnd w:id="21"/>
      <w:bookmarkEnd w:id="22"/>
      <w:bookmarkEnd w:id="23"/>
      <w:bookmarkEnd w:id="24"/>
      <w:bookmarkEnd w:id="25"/>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（一）满足《中华人民共和国政府采购法》第二十二条规定（要求投标人提供营业执照或事业单位法人证等法人证明扫描件以及《政府采购投标及履约承诺函》）。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20" w:firstLineChars="200"/>
        <w:rPr>
          <w:rFonts w:asciiTheme="minorEastAsia" w:eastAsiaTheme="minorEastAsia" w:hAnsiTheme="minorEastAsia"/>
          <w:sz w:val="24"/>
          <w:u w:val="single"/>
        </w:rPr>
      </w:pPr>
      <w:bookmarkStart w:id="27" w:name="_Toc28359081"/>
      <w:bookmarkStart w:id="28" w:name="_Toc28359004"/>
      <w:r>
        <w:rPr>
          <w:rFonts w:asciiTheme="minorEastAsia" w:eastAsiaTheme="minorEastAsia" w:hAnsiTheme="minorEastAsia" w:hint="eastAsia"/>
          <w:sz w:val="24"/>
        </w:rPr>
        <w:t>（二）</w:t>
      </w:r>
      <w:r>
        <w:rPr>
          <w:rFonts w:ascii="宋体" w:hAnsi="宋体" w:cs="仿宋_GB2312" w:hint="eastAsia"/>
          <w:sz w:val="24"/>
        </w:rPr>
        <w:t>落实政府采购政策需满足的资格要求</w:t>
      </w:r>
      <w:r>
        <w:rPr>
          <w:rFonts w:asciiTheme="minorEastAsia" w:eastAsiaTheme="minorEastAsia" w:hAnsiTheme="minorEastAsia" w:hint="eastAsia"/>
          <w:sz w:val="24"/>
        </w:rPr>
        <w:t>：无。</w:t>
      </w:r>
    </w:p>
    <w:p>
      <w:pPr>
        <w:adjustRightInd w:val="0"/>
        <w:snapToGrid w:val="0"/>
        <w:spacing w:line="360" w:lineRule="auto"/>
        <w:ind w:firstLine="420" w:firstLineChars="200"/>
        <w:rPr>
          <w:rFonts w:asciiTheme="minorEastAsia" w:eastAsiaTheme="minorEastAsia" w:hAnsiTheme="minorEastAsia"/>
          <w:i/>
          <w:iCs/>
          <w:sz w:val="24"/>
          <w:u w:val="single"/>
        </w:rPr>
      </w:pPr>
      <w:r>
        <w:rPr>
          <w:rFonts w:asciiTheme="minorEastAsia" w:eastAsiaTheme="minorEastAsia" w:hAnsiTheme="minorEastAsia" w:hint="eastAsia"/>
          <w:sz w:val="24"/>
        </w:rPr>
        <w:t>（三）本项目的特定资格要求：</w:t>
      </w:r>
      <w:bookmarkStart w:id="29" w:name="_Hlk41992228"/>
      <w:r>
        <w:rPr>
          <w:rFonts w:asciiTheme="minorEastAsia" w:eastAsiaTheme="minorEastAsia" w:hAnsiTheme="minorEastAsia" w:hint="eastAsia"/>
          <w:sz w:val="24"/>
        </w:rPr>
        <w:t>无</w:t>
      </w:r>
      <w:r>
        <w:rPr>
          <w:rStyle w:val="CommentReference"/>
          <w:rFonts w:asciiTheme="minorHAnsi" w:eastAsiaTheme="minorEastAsia" w:hAnsiTheme="minorHAnsi" w:cstheme="minorBidi" w:hint="eastAsia"/>
        </w:rPr>
        <w:t>。</w:t>
      </w:r>
      <w:bookmarkEnd w:id="29"/>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adjustRightInd w:val="0"/>
        <w:snapToGrid w:val="0"/>
        <w:spacing w:line="360" w:lineRule="auto"/>
        <w:ind w:firstLine="420" w:firstLineChars="200"/>
        <w:rPr>
          <w:rFonts w:asciiTheme="minorEastAsia" w:eastAsiaTheme="minorEastAsia" w:hAnsiTheme="minorEastAsia"/>
          <w:sz w:val="24"/>
        </w:rPr>
      </w:pPr>
      <w:bookmarkStart w:id="30" w:name="_Hlk50363588"/>
      <w:r>
        <w:rPr>
          <w:rFonts w:asciiTheme="minorEastAsia" w:eastAsiaTheme="minorEastAsia" w:hAnsiTheme="minorEastAsia" w:hint="eastAsia"/>
          <w:sz w:val="24"/>
        </w:rPr>
        <w:t>（五）参与本项目政府采购活动时不存在被有关部门禁止参与政府采购活动且在有效期内的情况（由供应商在《政府采购投标及履约承诺函》中作出声明）。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sz w:val="24"/>
        </w:rPr>
      </w:pPr>
      <w:bookmarkStart w:id="31" w:name="_Hlk50362743"/>
      <w:r>
        <w:rPr>
          <w:rFonts w:asciiTheme="minorEastAsia" w:eastAsiaTheme="minorEastAsia" w:hAnsiTheme="minorEastAsia" w:hint="eastAsia"/>
          <w:sz w:val="24"/>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sz w:val="24"/>
        </w:rPr>
        <w:t>（七）</w:t>
      </w:r>
      <w:r>
        <w:rPr>
          <w:rFonts w:ascii="宋体" w:hAnsi="宋体" w:hint="eastAsia"/>
          <w:bCs/>
          <w:sz w:val="24"/>
        </w:rPr>
        <w:t>单位负责人为同一人或者存在直接控股、管理关系的不同供应商，不得参加</w:t>
      </w:r>
      <w:r>
        <w:rPr>
          <w:rFonts w:ascii="宋体" w:hAnsi="宋体" w:hint="eastAsia"/>
          <w:bCs/>
          <w:color w:val="auto"/>
          <w:sz w:val="24"/>
        </w:rPr>
        <w:t>同一合同项下的</w:t>
      </w:r>
      <w:r>
        <w:rPr>
          <w:rFonts w:asciiTheme="minorEastAsia" w:eastAsiaTheme="minorEastAsia" w:hAnsiTheme="minorEastAsia" w:hint="eastAsia"/>
          <w:color w:val="auto"/>
          <w:sz w:val="24"/>
        </w:rPr>
        <w:t>政府采购活动（由供应商在《政府采购投标及履约承诺函》中作出声明）。</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（八）未</w:t>
      </w:r>
      <w:bookmarkStart w:id="32" w:name="_Hlk41992259"/>
      <w:r>
        <w:rPr>
          <w:rFonts w:asciiTheme="minorEastAsia" w:eastAsiaTheme="minorEastAsia" w:hAnsiTheme="minorEastAsia" w:hint="eastAsia"/>
          <w:color w:val="auto"/>
          <w:sz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2"/>
      <w:r>
        <w:rPr>
          <w:rFonts w:asciiTheme="minorEastAsia" w:eastAsiaTheme="minorEastAsia" w:hAnsiTheme="minorEastAsia" w:hint="eastAsia"/>
          <w:color w:val="auto"/>
          <w:sz w:val="24"/>
        </w:rPr>
        <w:t xml:space="preserve"> </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（九）本项目不接受联合体投标，不允许分包、转包。</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（十）接受投标人选用进口产品参与投标，若所投产品为进口，则投标人必须提供由设备制造商或授权的中国代理签署的合法有效的针对所投标产品对应商品授权书；若所投产品为国产产品，则无需提供。</w:t>
      </w:r>
    </w:p>
    <w:p>
      <w:pPr>
        <w:pStyle w:val="Heading2"/>
        <w:adjustRightInd w:val="0"/>
        <w:snapToGrid w:val="0"/>
        <w:spacing w:line="360" w:lineRule="auto"/>
        <w:rPr>
          <w:rFonts w:asciiTheme="minorEastAsia" w:eastAsiaTheme="minorEastAsia" w:hAnsiTheme="minorEastAsia" w:cs="宋体"/>
          <w:b w:val="0"/>
          <w:sz w:val="24"/>
          <w:szCs w:val="24"/>
        </w:rPr>
      </w:pPr>
      <w:bookmarkEnd w:id="30"/>
      <w:bookmarkEnd w:id="31"/>
      <w:bookmarkStart w:id="33" w:name="_Toc10347"/>
      <w:bookmarkStart w:id="34" w:name="_Toc35393792"/>
      <w:bookmarkStart w:id="35" w:name="_Toc35393623"/>
      <w:bookmarkStart w:id="36" w:name="_Toc32420"/>
      <w:bookmarkStart w:id="37" w:name="_Toc256000003"/>
      <w:r>
        <w:rPr>
          <w:rFonts w:asciiTheme="minorEastAsia" w:eastAsiaTheme="minorEastAsia" w:hAnsiTheme="minorEastAsia" w:cs="宋体" w:hint="eastAsia"/>
          <w:b w:val="0"/>
          <w:sz w:val="24"/>
          <w:szCs w:val="24"/>
        </w:rPr>
        <w:t>三、获取招标文件</w:t>
      </w:r>
      <w:bookmarkEnd w:id="37"/>
      <w:bookmarkEnd w:id="27"/>
      <w:bookmarkEnd w:id="28"/>
      <w:bookmarkEnd w:id="33"/>
      <w:bookmarkEnd w:id="34"/>
      <w:bookmarkEnd w:id="35"/>
      <w:bookmarkEnd w:id="36"/>
    </w:p>
    <w:p>
      <w:pPr>
        <w:adjustRightInd w:val="0"/>
        <w:snapToGrid w:val="0"/>
        <w:spacing w:line="360" w:lineRule="auto"/>
        <w:ind w:firstLine="540"/>
        <w:jc w:val="left"/>
        <w:rPr>
          <w:rFonts w:asciiTheme="minorEastAsia" w:eastAsiaTheme="minorEastAsia" w:hAnsiTheme="minorEastAsia"/>
          <w:color w:val="auto"/>
          <w:sz w:val="24"/>
        </w:rPr>
      </w:pPr>
      <w:bookmarkStart w:id="38" w:name="_Toc28359005"/>
      <w:bookmarkStart w:id="39" w:name="_Toc28359082"/>
      <w:bookmarkStart w:id="40" w:name="_Toc35393793"/>
      <w:bookmarkStart w:id="41" w:name="_Toc35393624"/>
      <w:r>
        <w:rPr>
          <w:rFonts w:asciiTheme="minorEastAsia" w:eastAsiaTheme="minorEastAsia" w:hAnsiTheme="minorEastAsia" w:hint="eastAsia"/>
          <w:color w:val="auto"/>
          <w:sz w:val="24"/>
        </w:rPr>
        <w:t>时间：</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13</w:t>
      </w:r>
      <w:r>
        <w:rPr>
          <w:rFonts w:asciiTheme="minorEastAsia" w:eastAsiaTheme="minorEastAsia" w:hAnsiTheme="minorEastAsia" w:hint="eastAsia"/>
          <w:color w:val="auto"/>
          <w:sz w:val="24"/>
        </w:rPr>
        <w:t>日</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30</w:t>
      </w:r>
    </w:p>
    <w:p>
      <w:pPr>
        <w:adjustRightInd w:val="0"/>
        <w:snapToGrid w:val="0"/>
        <w:spacing w:line="360" w:lineRule="auto"/>
        <w:ind w:firstLine="54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凡已注册的深圳市网上政府采购供应商，按照授予的操作权限，可于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13</w:t>
      </w:r>
      <w:r>
        <w:rPr>
          <w:rFonts w:asciiTheme="minorEastAsia" w:eastAsiaTheme="minorEastAsia" w:hAnsiTheme="minorEastAsia" w:hint="eastAsia"/>
          <w:color w:val="auto"/>
          <w:sz w:val="24"/>
        </w:rPr>
        <w:t>日</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30</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42" w:name="_Toc693"/>
      <w:bookmarkStart w:id="43" w:name="_Toc5398"/>
      <w:bookmarkStart w:id="44" w:name="_Toc256000004"/>
      <w:r>
        <w:rPr>
          <w:rFonts w:asciiTheme="minorEastAsia" w:eastAsiaTheme="minorEastAsia" w:hAnsiTheme="minorEastAsia" w:cs="宋体" w:hint="eastAsia"/>
          <w:b w:val="0"/>
          <w:sz w:val="24"/>
          <w:szCs w:val="24"/>
        </w:rPr>
        <w:t>四、提交投标文件</w:t>
      </w:r>
      <w:bookmarkEnd w:id="38"/>
      <w:bookmarkEnd w:id="39"/>
      <w:r>
        <w:rPr>
          <w:rFonts w:asciiTheme="minorEastAsia" w:eastAsiaTheme="minorEastAsia" w:hAnsiTheme="minorEastAsia" w:cs="宋体" w:hint="eastAsia"/>
          <w:b w:val="0"/>
          <w:sz w:val="24"/>
          <w:szCs w:val="24"/>
        </w:rPr>
        <w:t>截止时间、开标时间和地点</w:t>
      </w:r>
      <w:bookmarkEnd w:id="44"/>
      <w:bookmarkEnd w:id="40"/>
      <w:bookmarkEnd w:id="41"/>
      <w:bookmarkEnd w:id="42"/>
      <w:bookmarkEnd w:id="43"/>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13</w:t>
      </w:r>
      <w:r>
        <w:rPr>
          <w:rFonts w:asciiTheme="minorEastAsia" w:eastAsiaTheme="minorEastAsia" w:hAnsiTheme="minorEastAsia" w:hint="eastAsia"/>
          <w:color w:val="auto"/>
          <w:sz w:val="24"/>
        </w:rPr>
        <w:t>日</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30</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w:t>
      </w:r>
      <w:r>
        <w:rPr>
          <w:rFonts w:asciiTheme="minorEastAsia" w:eastAsiaTheme="minorEastAsia" w:hAnsiTheme="minorEastAsia" w:cs="宋体" w:hint="eastAsia"/>
          <w:color w:val="auto"/>
          <w:kern w:val="0"/>
          <w:sz w:val="24"/>
          <w:highlight w:val="none"/>
        </w:rPr>
        <w:t>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color w:val="auto"/>
          <w:sz w:val="24"/>
          <w:highlight w:val="none"/>
        </w:rPr>
        <w:t>（二）</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color w:val="auto"/>
          <w:sz w:val="24"/>
          <w:highlight w:val="none"/>
          <w:lang w:val="en-US" w:eastAsia="zh-CN"/>
        </w:rPr>
        <w:t>2023</w:t>
      </w:r>
      <w:r>
        <w:rPr>
          <w:rFonts w:asciiTheme="minorEastAsia" w:eastAsiaTheme="minorEastAsia" w:hAnsiTheme="minorEastAsia" w:hint="eastAsia"/>
          <w:color w:val="auto"/>
          <w:sz w:val="24"/>
          <w:highlight w:val="none"/>
        </w:rPr>
        <w:t>年</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月</w:t>
      </w:r>
      <w:r>
        <w:rPr>
          <w:rFonts w:asciiTheme="minorEastAsia" w:eastAsiaTheme="minorEastAsia" w:hAnsiTheme="minorEastAsia" w:hint="eastAsia"/>
          <w:color w:val="auto"/>
          <w:sz w:val="24"/>
          <w:highlight w:val="none"/>
          <w:lang w:val="en-US" w:eastAsia="zh-CN"/>
        </w:rPr>
        <w:t>13</w:t>
      </w:r>
      <w:r>
        <w:rPr>
          <w:rFonts w:asciiTheme="minorEastAsia" w:eastAsiaTheme="minorEastAsia" w:hAnsiTheme="minorEastAsia" w:hint="eastAsia"/>
          <w:color w:val="auto"/>
          <w:sz w:val="24"/>
          <w:highlight w:val="none"/>
        </w:rPr>
        <w:t>日</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w:t>
      </w:r>
      <w:r>
        <w:rPr>
          <w:rFonts w:asciiTheme="minorEastAsia" w:eastAsiaTheme="minorEastAsia" w:hAnsiTheme="minorEastAsia" w:hint="eastAsia"/>
          <w:color w:val="auto"/>
          <w:sz w:val="24"/>
          <w:highlight w:val="none"/>
          <w:lang w:val="en-US" w:eastAsia="zh-CN"/>
        </w:rPr>
        <w:t>30</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在线解密：投标人须在开标当日09:30-10:00期间进行</w:t>
      </w:r>
      <w:r>
        <w:rPr>
          <w:rFonts w:asciiTheme="minorEastAsia" w:eastAsiaTheme="minorEastAsia" w:hAnsiTheme="minorEastAsia" w:cs="宋体" w:hint="eastAsia"/>
          <w:kern w:val="0"/>
          <w:sz w:val="24"/>
        </w:rPr>
        <w:t>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5" w:name="_Toc28359007"/>
      <w:bookmarkStart w:id="46" w:name="_Toc35393794"/>
      <w:bookmarkStart w:id="47" w:name="_Toc35393625"/>
      <w:bookmarkStart w:id="48" w:name="_Toc10005"/>
      <w:bookmarkStart w:id="49" w:name="_Toc28359084"/>
      <w:bookmarkStart w:id="50" w:name="_Toc18096"/>
      <w:bookmarkStart w:id="51" w:name="_Toc256000005"/>
      <w:r>
        <w:rPr>
          <w:rFonts w:asciiTheme="minorEastAsia" w:eastAsiaTheme="minorEastAsia" w:hAnsiTheme="minorEastAsia" w:cs="宋体" w:hint="eastAsia"/>
          <w:b w:val="0"/>
          <w:bCs w:val="0"/>
          <w:sz w:val="24"/>
          <w:szCs w:val="24"/>
        </w:rPr>
        <w:t>五、公告期限</w:t>
      </w:r>
      <w:bookmarkEnd w:id="51"/>
      <w:bookmarkEnd w:id="45"/>
      <w:bookmarkEnd w:id="46"/>
      <w:bookmarkEnd w:id="47"/>
      <w:bookmarkEnd w:id="48"/>
      <w:bookmarkEnd w:id="49"/>
      <w:bookmarkEnd w:id="50"/>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52" w:name="_Toc30395"/>
      <w:bookmarkStart w:id="53" w:name="_Toc435514849"/>
      <w:bookmarkStart w:id="54" w:name="_Toc20704"/>
      <w:bookmarkStart w:id="55" w:name="_Toc13067020"/>
      <w:bookmarkStart w:id="56" w:name="_Toc435115054"/>
      <w:bookmarkStart w:id="57" w:name="_Toc14891"/>
      <w:bookmarkStart w:id="58" w:name="_Toc35393795"/>
      <w:bookmarkStart w:id="59" w:name="_Toc35393626"/>
      <w:bookmarkStart w:id="60" w:name="_Toc256000006"/>
      <w:r>
        <w:rPr>
          <w:rFonts w:asciiTheme="minorEastAsia" w:eastAsiaTheme="minorEastAsia" w:hAnsiTheme="minorEastAsia" w:cs="宋体" w:hint="eastAsia"/>
          <w:b w:val="0"/>
          <w:sz w:val="24"/>
          <w:szCs w:val="24"/>
        </w:rPr>
        <w:t>六、其他补充事宜</w:t>
      </w:r>
      <w:bookmarkEnd w:id="60"/>
      <w:bookmarkEnd w:id="52"/>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（一）</w:t>
      </w:r>
      <w:r>
        <w:rPr>
          <w:rFonts w:asciiTheme="minorEastAsia" w:eastAsiaTheme="minorEastAsia" w:hAnsiTheme="minorEastAsia" w:cs="宋体"/>
          <w:sz w:val="24"/>
        </w:rPr>
        <w:t>本项</w:t>
      </w:r>
      <w:r>
        <w:rPr>
          <w:rFonts w:asciiTheme="minorEastAsia" w:eastAsiaTheme="minorEastAsia" w:hAnsiTheme="minorEastAsia" w:cs="宋体"/>
          <w:color w:val="auto"/>
          <w:sz w:val="24"/>
        </w:rPr>
        <w:t>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采购文件澄清/修改事项：2023年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7</w:t>
      </w:r>
      <w:r>
        <w:rPr>
          <w:rFonts w:asciiTheme="minorEastAsia" w:eastAsiaTheme="minorEastAsia" w:hAnsiTheme="minorEastAsia" w:cs="宋体" w:hint="eastAsia"/>
          <w:color w:val="auto"/>
          <w:sz w:val="24"/>
        </w:rPr>
        <w:t>日18:00（北京时间）前，投标人如果认为采购文件存在不明确、不清晰和前后不一致等问题，</w:t>
      </w:r>
      <w:r>
        <w:rPr>
          <w:rFonts w:asciiTheme="minorEastAsia" w:eastAsiaTheme="minorEastAsia" w:hAnsiTheme="minorEastAsia" w:cs="宋体" w:hint="eastAsia"/>
          <w:sz w:val="24"/>
        </w:rPr>
        <w:t>可登录</w:t>
      </w:r>
      <w:r>
        <w:rPr>
          <w:rFonts w:asciiTheme="minorEastAsia" w:eastAsiaTheme="minorEastAsia" w:hAnsiTheme="minorEastAsia" w:hint="eastAsia"/>
          <w:sz w:val="24"/>
        </w:rPr>
        <w:t>深圳政府采购智慧平台（ht</w:t>
      </w:r>
      <w:r>
        <w:rPr>
          <w:rFonts w:asciiTheme="minorEastAsia" w:eastAsiaTheme="minorEastAsia" w:hAnsiTheme="minorEastAsia" w:hint="eastAsia"/>
          <w:color w:val="auto"/>
          <w:sz w:val="24"/>
        </w:rPr>
        <w: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日18:00（北京时间）前将采购文件澄清/修改情况在“【我的项目】→【项目流程】→【答疑澄清文件下载】”中公布，望投标人予以关注。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2、采购代理机构网站（www.chinapsp.cn）</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sz w:val="24"/>
          <w:shd w:val="clear" w:color="auto" w:fill="FFFFFF"/>
        </w:rPr>
        <w:t>3、清华大学深圳国际研究生院官网（https://www.sigs.tsinghua.edu.cn/）</w:t>
      </w:r>
      <w:r>
        <w:rPr>
          <w:rFonts w:ascii="宋体" w:hAnsi="宋体" w:cs="宋体" w:hint="eastAsia"/>
          <w:color w:val="000000" w:themeColor="text1"/>
          <w:sz w:val="24"/>
          <w14:textFill>
            <w14:solidFill>
              <w14:schemeClr w14:val="tx1"/>
            </w14:solidFill>
          </w14:textFill>
        </w:rPr>
        <w:t>。</w:t>
      </w:r>
    </w:p>
    <w:p>
      <w:pPr>
        <w:wordWrap w:val="0"/>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4、以上媒体公告内容不一致的，以深圳政府采购智慧平台（http://zfcg.szggzy.com:8081/）的公告内容为准。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61" w:name="_Toc35393627"/>
      <w:bookmarkStart w:id="62" w:name="_Toc28359008"/>
      <w:bookmarkStart w:id="63" w:name="_Toc35393796"/>
      <w:bookmarkStart w:id="64" w:name="_Toc28359085"/>
    </w:p>
    <w:p>
      <w:pPr>
        <w:adjustRightInd w:val="0"/>
        <w:snapToGrid w:val="0"/>
        <w:spacing w:line="360" w:lineRule="auto"/>
        <w:ind w:firstLine="480"/>
        <w:rPr>
          <w:rFonts w:asciiTheme="minorEastAsia" w:eastAsiaTheme="minorEastAsia" w:hAnsiTheme="minorEastAsia" w:cs="宋体"/>
          <w:sz w:val="24"/>
        </w:rPr>
      </w:pPr>
      <w:bookmarkStart w:id="65"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6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66" w:name="_Toc29300"/>
      <w:bookmarkStart w:id="67" w:name="_Toc16347"/>
      <w:bookmarkStart w:id="68"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68"/>
      <w:bookmarkEnd w:id="61"/>
      <w:bookmarkEnd w:id="62"/>
      <w:bookmarkEnd w:id="63"/>
      <w:bookmarkEnd w:id="64"/>
      <w:bookmarkEnd w:id="66"/>
      <w:bookmarkEnd w:id="67"/>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69" w:name="_Toc28359009"/>
      <w:bookmarkStart w:id="70" w:name="_Toc28359086"/>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69"/>
      <w:bookmarkEnd w:id="70"/>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71" w:name="_Toc28359087"/>
      <w:bookmarkStart w:id="72" w:name="_Toc28359010"/>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71"/>
      <w:bookmarkEnd w:id="72"/>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73" w:name="_Toc23679"/>
      <w:bookmarkStart w:id="74" w:name="_Toc24167"/>
      <w:bookmarkStart w:id="75" w:name="_Toc256000008"/>
      <w:r>
        <w:rPr>
          <w:rFonts w:asciiTheme="minorEastAsia" w:eastAsiaTheme="minorEastAsia" w:hAnsiTheme="minorEastAsia" w:cs="宋体" w:hint="eastAsia"/>
          <w:b w:val="0"/>
          <w:sz w:val="24"/>
          <w:szCs w:val="24"/>
        </w:rPr>
        <w:t>八、招标文件</w:t>
      </w:r>
      <w:bookmarkEnd w:id="75"/>
      <w:bookmarkEnd w:id="73"/>
      <w:bookmarkEnd w:id="7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 xml:space="preserve">年 </w:t>
      </w:r>
      <w:r>
        <w:rPr>
          <w:rFonts w:asciiTheme="minorEastAsia" w:eastAsiaTheme="minorEastAsia" w:hAnsiTheme="minorEastAsia" w:hint="eastAsia"/>
          <w:b/>
          <w:sz w:val="24"/>
          <w:lang w:val="en-US" w:eastAsia="zh-CN"/>
        </w:rPr>
        <w:t>8</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28</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rPr>
          <w:b/>
          <w:bCs/>
          <w:sz w:val="28"/>
          <w:szCs w:val="28"/>
        </w:rPr>
      </w:pPr>
      <w:r>
        <w:rPr>
          <w:rFonts w:hint="eastAsia"/>
          <w:b/>
          <w:bCs/>
          <w:sz w:val="28"/>
          <w:szCs w:val="28"/>
        </w:rPr>
        <w:br w:type="page"/>
      </w:r>
    </w:p>
    <w:p>
      <w:pPr>
        <w:spacing w:before="156" w:beforeLines="50" w:after="156" w:afterLines="50" w:line="360" w:lineRule="auto"/>
        <w:jc w:val="center"/>
        <w:outlineLvl w:val="0"/>
        <w:rPr>
          <w:color w:val="FF0000"/>
        </w:rPr>
      </w:pPr>
      <w:bookmarkStart w:id="76" w:name="_Toc5512"/>
      <w:bookmarkStart w:id="77" w:name="_Toc256000009"/>
      <w:r>
        <w:rPr>
          <w:rFonts w:hint="eastAsia"/>
          <w:b/>
          <w:bCs/>
          <w:sz w:val="28"/>
          <w:szCs w:val="28"/>
        </w:rPr>
        <w:t>第二章 用户需求书</w:t>
      </w:r>
      <w:bookmarkEnd w:id="77"/>
      <w:bookmarkEnd w:id="53"/>
      <w:bookmarkEnd w:id="54"/>
      <w:bookmarkEnd w:id="55"/>
      <w:bookmarkEnd w:id="56"/>
      <w:bookmarkEnd w:id="76"/>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w:t>
      </w:r>
      <w:r>
        <w:rPr>
          <w:rFonts w:hint="eastAsia"/>
          <w:sz w:val="24"/>
        </w:rPr>
        <w:t>聚焦离子束电子束双束显微镜</w:t>
      </w:r>
      <w:r>
        <w:rPr>
          <w:rFonts w:asciiTheme="minorEastAsia" w:hAnsiTheme="minorEastAsia" w:cs="Times New Roman" w:hint="eastAsia"/>
          <w:bCs/>
          <w:sz w:val="24"/>
          <w:szCs w:val="24"/>
        </w:rPr>
        <w:t>1套。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8" w:name="_Hlk17135609"/>
      <w:r>
        <w:rPr>
          <w:rFonts w:asciiTheme="minorEastAsia" w:hAnsiTheme="minorEastAsia" w:hint="eastAsia"/>
          <w:b/>
          <w:sz w:val="24"/>
          <w:szCs w:val="24"/>
        </w:rPr>
        <w:t>采购项目清单：</w:t>
      </w:r>
    </w:p>
    <w:tbl>
      <w:tblPr>
        <w:tblStyle w:val="TableNormal"/>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31"/>
        <w:gridCol w:w="740"/>
        <w:gridCol w:w="1339"/>
        <w:gridCol w:w="1281"/>
        <w:gridCol w:w="1374"/>
        <w:gridCol w:w="1222"/>
        <w:gridCol w:w="912"/>
        <w:gridCol w:w="802"/>
      </w:tblGrid>
      <w:tr>
        <w:tblPrEx>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56"/>
          <w:jc w:val="center"/>
        </w:trPr>
        <w:tc>
          <w:tcPr>
            <w:tcW w:w="962"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389"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704"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最高限价</w:t>
            </w:r>
          </w:p>
          <w:p>
            <w:pPr>
              <w:snapToGrid w:val="0"/>
              <w:jc w:val="center"/>
              <w:rPr>
                <w:rFonts w:ascii="宋体"/>
                <w:b/>
                <w:sz w:val="24"/>
              </w:rPr>
            </w:pPr>
            <w:r>
              <w:rPr>
                <w:rFonts w:ascii="宋体" w:hAnsi="宋体" w:hint="eastAsia"/>
                <w:b/>
                <w:color w:val="000000" w:themeColor="text1"/>
                <w:sz w:val="24"/>
                <w14:textFill>
                  <w14:solidFill>
                    <w14:schemeClr w14:val="tx1"/>
                  </w14:solidFill>
                </w14:textFill>
              </w:rPr>
              <w:t>（人民币 元）</w:t>
            </w:r>
          </w:p>
        </w:tc>
        <w:tc>
          <w:tcPr>
            <w:tcW w:w="674"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项目预算</w:t>
            </w:r>
          </w:p>
          <w:p>
            <w:pPr>
              <w:snapToGrid w:val="0"/>
              <w:jc w:val="center"/>
              <w:rPr>
                <w:rFonts w:ascii="宋体"/>
                <w:b/>
                <w:sz w:val="24"/>
              </w:rPr>
            </w:pPr>
            <w:r>
              <w:rPr>
                <w:rFonts w:ascii="宋体" w:hint="eastAsia"/>
                <w:b/>
                <w:sz w:val="24"/>
              </w:rPr>
              <w:t>（人民币  元）</w:t>
            </w:r>
          </w:p>
        </w:tc>
        <w:tc>
          <w:tcPr>
            <w:tcW w:w="723"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643"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480"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Theme="minorEastAsia" w:hAnsiTheme="minorEastAsia" w:hint="eastAsia"/>
                <w:b/>
                <w:bCs/>
                <w:sz w:val="24"/>
              </w:rPr>
              <w:t>允许采购</w:t>
            </w:r>
          </w:p>
          <w:p>
            <w:pPr>
              <w:snapToGrid w:val="0"/>
              <w:jc w:val="center"/>
              <w:rPr>
                <w:rFonts w:ascii="宋体"/>
                <w:b/>
                <w:sz w:val="24"/>
              </w:rPr>
            </w:pPr>
            <w:r>
              <w:rPr>
                <w:rFonts w:asciiTheme="minorEastAsia" w:hAnsiTheme="minorEastAsia" w:hint="eastAsia"/>
                <w:b/>
                <w:bCs/>
                <w:sz w:val="24"/>
              </w:rPr>
              <w:t>进口产品</w:t>
            </w:r>
          </w:p>
        </w:tc>
        <w:tc>
          <w:tcPr>
            <w:tcW w:w="422"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r>
      <w:tr>
        <w:tblPrEx>
          <w:tblW w:w="5056" w:type="pct"/>
          <w:jc w:val="center"/>
          <w:tblLayout w:type="fixed"/>
          <w:tblCellMar>
            <w:top w:w="0" w:type="dxa"/>
            <w:left w:w="108" w:type="dxa"/>
            <w:bottom w:w="0" w:type="dxa"/>
            <w:right w:w="108" w:type="dxa"/>
          </w:tblCellMar>
        </w:tblPrEx>
        <w:trPr>
          <w:cantSplit/>
          <w:trHeight w:val="2160"/>
          <w:jc w:val="center"/>
        </w:trPr>
        <w:tc>
          <w:tcPr>
            <w:tcW w:w="962" w:type="pct"/>
            <w:tcBorders>
              <w:left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r>
              <w:rPr>
                <w:rFonts w:hint="eastAsia"/>
                <w:sz w:val="24"/>
              </w:rPr>
              <w:t>聚焦离子束电子束双束显微镜</w:t>
            </w:r>
          </w:p>
        </w:tc>
        <w:tc>
          <w:tcPr>
            <w:tcW w:w="389" w:type="pct"/>
            <w:tcBorders>
              <w:left w:val="single" w:sz="4" w:space="0" w:color="auto"/>
              <w:right w:val="single" w:sz="4" w:space="0" w:color="auto"/>
            </w:tcBorders>
            <w:vAlign w:val="center"/>
          </w:tcPr>
          <w:p>
            <w:pPr>
              <w:snapToGrid w:val="0"/>
              <w:jc w:val="center"/>
              <w:rPr>
                <w:rFonts w:ascii="宋体"/>
                <w:bCs/>
                <w:sz w:val="24"/>
              </w:rPr>
            </w:pPr>
            <w:r>
              <w:rPr>
                <w:rFonts w:ascii="宋体" w:hint="eastAsia"/>
                <w:bCs/>
                <w:sz w:val="24"/>
              </w:rPr>
              <w:t>1套</w:t>
            </w:r>
          </w:p>
        </w:tc>
        <w:tc>
          <w:tcPr>
            <w:tcW w:w="704" w:type="pct"/>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5,688,</w:t>
            </w:r>
            <w:r>
              <w:rPr>
                <w:rFonts w:ascii="宋体" w:hAnsi="宋体"/>
                <w:snapToGrid/>
                <w:spacing w:val="0"/>
                <w:kern w:val="2"/>
                <w:szCs w:val="24"/>
              </w:rPr>
              <w:t>0</w:t>
            </w:r>
            <w:r>
              <w:rPr>
                <w:rFonts w:ascii="宋体" w:hAnsi="宋体" w:hint="eastAsia"/>
                <w:snapToGrid/>
                <w:spacing w:val="0"/>
                <w:kern w:val="2"/>
                <w:szCs w:val="24"/>
              </w:rPr>
              <w:t>00.00</w:t>
            </w:r>
          </w:p>
        </w:tc>
        <w:tc>
          <w:tcPr>
            <w:tcW w:w="674"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5,688,</w:t>
            </w:r>
            <w:r>
              <w:rPr>
                <w:rFonts w:ascii="宋体" w:hAnsi="宋体"/>
                <w:snapToGrid/>
                <w:spacing w:val="0"/>
                <w:kern w:val="2"/>
                <w:szCs w:val="24"/>
              </w:rPr>
              <w:t>0</w:t>
            </w:r>
            <w:r>
              <w:rPr>
                <w:rFonts w:ascii="宋体" w:hAnsi="宋体" w:hint="eastAsia"/>
                <w:snapToGrid/>
                <w:spacing w:val="0"/>
                <w:kern w:val="2"/>
                <w:szCs w:val="24"/>
              </w:rPr>
              <w:t>00.00</w:t>
            </w:r>
          </w:p>
        </w:tc>
        <w:tc>
          <w:tcPr>
            <w:tcW w:w="723"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hint="eastAsia"/>
              </w:rPr>
              <w:t>聚焦离子束电子束双束显微镜</w:t>
            </w:r>
          </w:p>
        </w:tc>
        <w:tc>
          <w:tcPr>
            <w:tcW w:w="643" w:type="pct"/>
            <w:tcBorders>
              <w:left w:val="single" w:sz="4" w:space="0" w:color="auto"/>
              <w:right w:val="single" w:sz="4" w:space="0" w:color="auto"/>
            </w:tcBorders>
            <w:vAlign w:val="center"/>
          </w:tcPr>
          <w:p>
            <w:pPr>
              <w:pStyle w:val="a0"/>
              <w:snapToGrid w:val="0"/>
              <w:spacing w:before="0" w:after="0" w:line="240" w:lineRule="auto"/>
              <w:rPr>
                <w:rFonts w:asciiTheme="minorEastAsia" w:hAnsiTheme="minorEastAsia"/>
                <w:bCs/>
                <w:szCs w:val="24"/>
              </w:rPr>
            </w:pPr>
            <w:r>
              <w:rPr>
                <w:rFonts w:hint="eastAsia"/>
              </w:rPr>
              <w:t>聚焦离子束电子束双束显微镜</w:t>
            </w:r>
          </w:p>
        </w:tc>
        <w:tc>
          <w:tcPr>
            <w:tcW w:w="480"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是</w:t>
            </w:r>
          </w:p>
        </w:tc>
        <w:tc>
          <w:tcPr>
            <w:tcW w:w="422"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shd w:val="pct10" w:color="auto" w:fill="FFFFFF"/>
              </w:rPr>
            </w:pPr>
            <w:r>
              <w:rPr>
                <w:rFonts w:ascii="宋体" w:hAnsi="宋体" w:hint="eastAsia"/>
                <w:snapToGrid/>
                <w:spacing w:val="0"/>
                <w:kern w:val="2"/>
                <w:szCs w:val="24"/>
              </w:rPr>
              <w:t>工业</w:t>
            </w:r>
          </w:p>
        </w:tc>
      </w:tr>
    </w:tbl>
    <w:p>
      <w:pPr>
        <w:pStyle w:val="PlainText"/>
        <w:tabs>
          <w:tab w:val="left" w:pos="540"/>
        </w:tabs>
        <w:adjustRightInd w:val="0"/>
        <w:snapToGrid w:val="0"/>
        <w:spacing w:line="360" w:lineRule="auto"/>
        <w:rPr>
          <w:rFonts w:eastAsia="宋体" w:hAnsi="宋体" w:cs="宋体"/>
          <w:b/>
          <w:sz w:val="24"/>
          <w:szCs w:val="24"/>
        </w:rPr>
      </w:pPr>
    </w:p>
    <w:p>
      <w:pPr>
        <w:adjustRightInd w:val="0"/>
        <w:snapToGrid w:val="0"/>
        <w:spacing w:line="360" w:lineRule="auto"/>
        <w:ind w:left="170"/>
        <w:rPr>
          <w:rFonts w:ascii="宋体" w:hAnsi="宋体" w:cs="宋体"/>
          <w:bCs/>
          <w:sz w:val="24"/>
        </w:rPr>
      </w:pPr>
      <w:r>
        <w:rPr>
          <w:rFonts w:ascii="宋体" w:hAnsi="宋体" w:cs="宋体" w:hint="eastAsia"/>
          <w:bCs/>
          <w:sz w:val="24"/>
        </w:rPr>
        <w:t>备注：</w:t>
      </w:r>
    </w:p>
    <w:p>
      <w:pPr>
        <w:adjustRightInd w:val="0"/>
        <w:snapToGrid w:val="0"/>
        <w:spacing w:line="360" w:lineRule="auto"/>
        <w:ind w:left="170"/>
        <w:rPr>
          <w:rFonts w:ascii="宋体" w:hAnsi="宋体" w:cs="宋体"/>
          <w:sz w:val="24"/>
          <w:lang w:eastAsia="zh-TW"/>
        </w:rPr>
      </w:pPr>
      <w:r>
        <w:rPr>
          <w:rFonts w:ascii="宋体" w:hAnsi="宋体" w:cs="宋体" w:hint="eastAsia"/>
          <w:bCs/>
          <w:sz w:val="24"/>
        </w:rPr>
        <w:t>1、</w:t>
      </w:r>
      <w:r>
        <w:rPr>
          <w:rFonts w:ascii="宋体" w:hAnsi="宋体" w:cs="宋体" w:hint="eastAsia"/>
          <w:sz w:val="24"/>
          <w:lang w:eastAsia="zh-TW"/>
        </w:rPr>
        <w:t>投标人投标时，采购的主要标的应</w:t>
      </w:r>
      <w:r>
        <w:rPr>
          <w:rFonts w:ascii="宋体" w:hAnsi="宋体" w:cs="宋体" w:hint="eastAsia"/>
          <w:sz w:val="24"/>
        </w:rPr>
        <w:t>在《开标一览表》或</w:t>
      </w:r>
      <w:r>
        <w:rPr>
          <w:rFonts w:ascii="宋体" w:hAnsi="宋体" w:cs="宋体" w:hint="eastAsia"/>
          <w:sz w:val="24"/>
          <w:lang w:eastAsia="zh-TW"/>
        </w:rPr>
        <w:t>《投标分项报价表》清晰列明“产品名称、规格型号、单价、数量”。</w:t>
      </w:r>
    </w:p>
    <w:p>
      <w:pPr>
        <w:adjustRightInd w:val="0"/>
        <w:snapToGrid w:val="0"/>
        <w:spacing w:line="360" w:lineRule="auto"/>
        <w:ind w:left="170"/>
        <w:rPr>
          <w:rFonts w:ascii="宋体" w:hAnsi="宋体" w:cs="宋体"/>
          <w:sz w:val="24"/>
          <w:lang w:eastAsia="zh-TW"/>
        </w:rPr>
      </w:pPr>
      <w:r>
        <w:rPr>
          <w:rFonts w:ascii="宋体" w:hAnsi="宋体" w:cs="宋体" w:hint="eastAsia"/>
          <w:sz w:val="24"/>
        </w:rPr>
        <w:t>2、</w:t>
      </w:r>
      <w:r>
        <w:rPr>
          <w:rFonts w:ascii="宋体" w:hAnsi="宋体" w:cs="宋体" w:hint="eastAsia"/>
          <w:sz w:val="24"/>
          <w:lang w:eastAsia="zh-TW"/>
        </w:rPr>
        <w:t>投标人投标时，</w:t>
      </w:r>
      <w:r>
        <w:rPr>
          <w:rFonts w:ascii="宋体" w:hAnsi="宋体" w:cs="宋体" w:hint="eastAsia"/>
          <w:sz w:val="24"/>
        </w:rPr>
        <w:t>采购的核心产品</w:t>
      </w:r>
      <w:r>
        <w:rPr>
          <w:rFonts w:ascii="宋体" w:hAnsi="宋体" w:cs="宋体" w:hint="eastAsia"/>
          <w:sz w:val="24"/>
          <w:lang w:eastAsia="zh-TW"/>
        </w:rPr>
        <w:t>应在</w:t>
      </w:r>
      <w:r>
        <w:rPr>
          <w:rFonts w:ascii="宋体" w:hAnsi="宋体" w:cs="宋体" w:hint="eastAsia"/>
          <w:sz w:val="24"/>
        </w:rPr>
        <w:t>《开标一览表》或</w:t>
      </w:r>
      <w:r>
        <w:rPr>
          <w:rFonts w:ascii="宋体" w:hAnsi="宋体" w:cs="宋体" w:hint="eastAsia"/>
          <w:sz w:val="24"/>
          <w:lang w:eastAsia="zh-TW"/>
        </w:rPr>
        <w:t>《投标分项报价表》中清晰列明“产品名称、品牌”</w:t>
      </w:r>
      <w:r>
        <w:rPr>
          <w:rFonts w:ascii="宋体" w:hAnsi="宋体" w:cs="宋体" w:hint="eastAsia"/>
          <w:sz w:val="24"/>
        </w:rPr>
        <w:t>，</w:t>
      </w:r>
      <w:r>
        <w:rPr>
          <w:rFonts w:ascii="宋体" w:hAnsi="宋体" w:cs="宋体" w:hint="eastAsia"/>
          <w:sz w:val="24"/>
          <w:lang w:eastAsia="zh-TW"/>
        </w:rPr>
        <w:t>否则，视为无效投标。</w:t>
      </w:r>
    </w:p>
    <w:p>
      <w:pPr>
        <w:pStyle w:val="PlainText"/>
        <w:numPr>
          <w:ilvl w:val="0"/>
          <w:numId w:val="2"/>
        </w:numPr>
        <w:tabs>
          <w:tab w:val="left" w:pos="540"/>
        </w:tabs>
        <w:adjustRightInd w:val="0"/>
        <w:snapToGrid w:val="0"/>
        <w:spacing w:line="360" w:lineRule="auto"/>
        <w:rPr>
          <w:rFonts w:eastAsia="宋体" w:hAnsi="宋体" w:cs="宋体"/>
          <w:b/>
          <w:sz w:val="24"/>
          <w:szCs w:val="24"/>
        </w:rPr>
      </w:pPr>
      <w:bookmarkEnd w:id="78"/>
      <w:bookmarkStart w:id="79" w:name="_Hlk30666195"/>
      <w:bookmarkStart w:id="80" w:name="_Hlk17136717"/>
      <w:r>
        <w:rPr>
          <w:rFonts w:eastAsia="宋体" w:hAnsi="宋体" w:cs="宋体" w:hint="eastAsia"/>
          <w:b/>
          <w:sz w:val="24"/>
          <w:szCs w:val="24"/>
        </w:rPr>
        <w:t xml:space="preserve">技术规格 </w:t>
      </w:r>
    </w:p>
    <w:p>
      <w:pPr>
        <w:adjustRightInd w:val="0"/>
        <w:snapToGrid w:val="0"/>
        <w:spacing w:line="360" w:lineRule="auto"/>
        <w:rPr>
          <w:rFonts w:ascii="宋体" w:hAnsi="宋体" w:cs="宋体"/>
          <w:b/>
          <w:bCs/>
          <w:sz w:val="24"/>
        </w:rPr>
      </w:pPr>
      <w:bookmarkStart w:id="81" w:name="_Toc88839303"/>
      <w:r>
        <w:rPr>
          <w:rFonts w:ascii="宋体" w:hAnsi="宋体" w:cs="宋体" w:hint="eastAsia"/>
          <w:b/>
          <w:bCs/>
          <w:sz w:val="24"/>
        </w:rPr>
        <w:t>1．用途</w:t>
      </w:r>
      <w:bookmarkEnd w:id="81"/>
    </w:p>
    <w:p>
      <w:pPr>
        <w:adjustRightInd w:val="0"/>
        <w:snapToGrid w:val="0"/>
        <w:spacing w:line="360" w:lineRule="auto"/>
        <w:ind w:left="359" w:firstLine="420" w:leftChars="171" w:firstLineChars="200"/>
        <w:rPr>
          <w:rFonts w:ascii="宋体" w:hAnsi="宋体" w:cs="宋体"/>
          <w:color w:val="000000"/>
          <w:sz w:val="24"/>
        </w:rPr>
      </w:pPr>
      <w:r>
        <w:rPr>
          <w:rFonts w:ascii="宋体" w:hAnsi="宋体" w:cs="宋体" w:hint="eastAsia"/>
          <w:color w:val="000000"/>
          <w:sz w:val="24"/>
        </w:rPr>
        <w:t>聚焦离子束电子束双束显微镜将高分辨场发射扫描电子显微镜和高精度聚焦离子束系统有机结合在一起，既具有高分辨率成像功能，又具有高精度的微纳加工功能，可实现更好更快的材料分析表征和TEM样品制备等。</w:t>
      </w:r>
    </w:p>
    <w:p>
      <w:pPr>
        <w:adjustRightInd w:val="0"/>
        <w:snapToGrid w:val="0"/>
        <w:spacing w:line="360" w:lineRule="auto"/>
        <w:rPr>
          <w:rFonts w:ascii="宋体" w:hAnsi="宋体" w:cs="宋体"/>
          <w:b/>
          <w:bCs/>
          <w:sz w:val="24"/>
        </w:rPr>
      </w:pPr>
      <w:bookmarkStart w:id="82" w:name="_Toc88839304"/>
      <w:r>
        <w:rPr>
          <w:rFonts w:ascii="宋体" w:hAnsi="宋体" w:cs="宋体" w:hint="eastAsia"/>
          <w:b/>
          <w:bCs/>
          <w:sz w:val="24"/>
        </w:rPr>
        <w:t>2．工作条件</w:t>
      </w:r>
      <w:bookmarkEnd w:id="82"/>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2.1工作温度和湿度：最佳温度20℃±3℃。</w:t>
      </w:r>
    </w:p>
    <w:p>
      <w:pPr>
        <w:adjustRightInd w:val="0"/>
        <w:snapToGrid w:val="0"/>
        <w:spacing w:line="360" w:lineRule="auto"/>
        <w:ind w:left="567" w:leftChars="270"/>
        <w:rPr>
          <w:rFonts w:ascii="宋体" w:hAnsi="宋体" w:cs="宋体"/>
          <w:color w:val="000000"/>
          <w:position w:val="-14"/>
          <w:sz w:val="24"/>
        </w:rPr>
      </w:pPr>
      <w:r>
        <w:rPr>
          <w:rFonts w:ascii="宋体" w:hAnsi="宋体" w:cs="宋体" w:hint="eastAsia"/>
          <w:color w:val="000000"/>
          <w:position w:val="-14"/>
          <w:sz w:val="24"/>
        </w:rPr>
        <w:t>2.2 电力要求：（如供电、供水、温度、湿度、抗振动、抗干扰要求等等）</w:t>
      </w:r>
    </w:p>
    <w:p>
      <w:pPr>
        <w:adjustRightInd w:val="0"/>
        <w:snapToGrid w:val="0"/>
        <w:spacing w:line="360" w:lineRule="auto"/>
        <w:ind w:firstLine="525" w:firstLineChars="250"/>
        <w:rPr>
          <w:rFonts w:ascii="宋体" w:hAnsi="宋体" w:cs="宋体"/>
          <w:color w:val="000000"/>
          <w:position w:val="-16"/>
          <w:sz w:val="24"/>
        </w:rPr>
      </w:pPr>
      <w:r>
        <w:rPr>
          <w:rFonts w:ascii="宋体" w:hAnsi="宋体" w:cs="宋体" w:hint="eastAsia"/>
          <w:sz w:val="24"/>
        </w:rPr>
        <w:t>电源: 230V</w:t>
      </w:r>
      <w:r>
        <w:rPr>
          <w:rFonts w:ascii="Symbol" w:hAnsi="Symbol" w:cs="宋体"/>
          <w:sz w:val="24"/>
        </w:rPr>
        <w:sym w:font="Symbol" w:char="F0B1"/>
      </w:r>
      <w:r>
        <w:rPr>
          <w:rFonts w:ascii="宋体" w:hAnsi="宋体" w:cs="宋体" w:hint="eastAsia"/>
          <w:sz w:val="24"/>
        </w:rPr>
        <w:t>6%; 频率: 50Hz; 功耗: 最大功率3.0kVA，接地电阻&lt;2Ω；</w:t>
      </w:r>
    </w:p>
    <w:p>
      <w:pPr>
        <w:adjustRightInd w:val="0"/>
        <w:snapToGrid w:val="0"/>
        <w:spacing w:line="360" w:lineRule="auto"/>
        <w:ind w:left="567" w:leftChars="270"/>
        <w:rPr>
          <w:rFonts w:ascii="宋体" w:hAnsi="宋体" w:cs="宋体"/>
          <w:sz w:val="24"/>
        </w:rPr>
      </w:pPr>
      <w:r>
        <w:rPr>
          <w:rFonts w:ascii="宋体" w:hAnsi="宋体" w:cs="宋体" w:hint="eastAsia"/>
          <w:sz w:val="24"/>
        </w:rPr>
        <w:t>无需外部供水；</w:t>
      </w:r>
    </w:p>
    <w:p>
      <w:pPr>
        <w:adjustRightInd w:val="0"/>
        <w:snapToGrid w:val="0"/>
        <w:spacing w:line="360" w:lineRule="auto"/>
        <w:ind w:left="567" w:leftChars="270"/>
        <w:rPr>
          <w:rFonts w:ascii="宋体" w:hAnsi="宋体" w:cs="宋体"/>
          <w:sz w:val="24"/>
        </w:rPr>
      </w:pPr>
      <w:r>
        <w:rPr>
          <w:rFonts w:ascii="宋体" w:hAnsi="宋体" w:cs="宋体" w:hint="eastAsia"/>
          <w:sz w:val="24"/>
        </w:rPr>
        <w:t>杂散磁场: 50Hz频率段 &lt;75nT(峰-峰值)；</w:t>
      </w:r>
    </w:p>
    <w:p>
      <w:pPr>
        <w:adjustRightInd w:val="0"/>
        <w:snapToGrid w:val="0"/>
        <w:spacing w:line="360" w:lineRule="auto"/>
        <w:ind w:left="567" w:leftChars="270"/>
        <w:rPr>
          <w:rFonts w:ascii="宋体" w:hAnsi="宋体" w:cs="宋体"/>
          <w:color w:val="000000"/>
          <w:position w:val="-14"/>
          <w:sz w:val="24"/>
        </w:rPr>
      </w:pPr>
      <w:r>
        <w:rPr>
          <w:rFonts w:ascii="宋体" w:hAnsi="宋体" w:cs="宋体" w:hint="eastAsia"/>
          <w:sz w:val="24"/>
        </w:rPr>
        <w:t>震动建议满足VC-F标准。</w:t>
      </w:r>
    </w:p>
    <w:p>
      <w:pPr>
        <w:adjustRightInd w:val="0"/>
        <w:snapToGrid w:val="0"/>
        <w:spacing w:line="360" w:lineRule="auto"/>
        <w:ind w:firstLine="525" w:firstLineChars="250"/>
        <w:rPr>
          <w:rFonts w:ascii="宋体" w:hAnsi="宋体" w:cs="宋体"/>
          <w:color w:val="000000"/>
          <w:position w:val="-16"/>
          <w:sz w:val="24"/>
        </w:rPr>
      </w:pPr>
      <w:r>
        <w:rPr>
          <w:rFonts w:ascii="宋体" w:hAnsi="宋体" w:cs="宋体" w:hint="eastAsia"/>
          <w:color w:val="000000"/>
          <w:position w:val="-16"/>
          <w:sz w:val="24"/>
        </w:rPr>
        <w:t>2.3 场地要求：主机间4.5m×5.5m以上，辅助间3m×2m以上。</w:t>
      </w:r>
    </w:p>
    <w:p>
      <w:pPr>
        <w:adjustRightInd w:val="0"/>
        <w:snapToGrid w:val="0"/>
        <w:spacing w:line="360" w:lineRule="auto"/>
        <w:rPr>
          <w:rFonts w:ascii="宋体" w:hAnsi="宋体" w:cs="宋体"/>
          <w:b/>
          <w:bCs/>
          <w:sz w:val="24"/>
        </w:rPr>
      </w:pPr>
      <w:bookmarkStart w:id="83" w:name="_Toc88839305"/>
      <w:r>
        <w:rPr>
          <w:rFonts w:ascii="宋体" w:hAnsi="宋体" w:cs="宋体" w:hint="eastAsia"/>
          <w:b/>
          <w:bCs/>
          <w:sz w:val="24"/>
        </w:rPr>
        <w:t>3．配置要求</w:t>
      </w:r>
      <w:bookmarkEnd w:id="83"/>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3.1 主机1台；</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3.2 真空系统1套；</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3.3 水冷系统1套。</w:t>
      </w:r>
    </w:p>
    <w:p>
      <w:pPr>
        <w:adjustRightInd w:val="0"/>
        <w:snapToGrid w:val="0"/>
        <w:spacing w:line="360" w:lineRule="auto"/>
        <w:rPr>
          <w:rFonts w:ascii="宋体" w:hAnsi="宋体" w:cs="宋体"/>
          <w:b/>
          <w:bCs/>
          <w:sz w:val="24"/>
        </w:rPr>
      </w:pPr>
      <w:bookmarkStart w:id="84" w:name="_Toc88839306"/>
      <w:r>
        <w:rPr>
          <w:rFonts w:ascii="宋体" w:hAnsi="宋体" w:cs="宋体" w:hint="eastAsia"/>
          <w:b/>
          <w:bCs/>
          <w:sz w:val="24"/>
        </w:rPr>
        <w:t>4．技术要求</w:t>
      </w:r>
      <w:bookmarkEnd w:id="84"/>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 离子束及辅助气体注入系统技术要求</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 离子束系统：</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4.1.1.1聚焦离子束系统能够对多种材料进行微纳米级切割、抛光、沉积加工等精细操作；</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4.1.1.2 离子源种类：液态Ga离子源；</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▲4.1.1.3</w:t>
      </w:r>
      <w:bookmarkStart w:id="85" w:name="_Hlk138232422"/>
      <w:r>
        <w:rPr>
          <w:rFonts w:ascii="宋体" w:hAnsi="宋体" w:cs="宋体" w:hint="eastAsia"/>
          <w:color w:val="000000"/>
          <w:position w:val="-20"/>
          <w:sz w:val="24"/>
        </w:rPr>
        <w:t>交叉点分辨率：≤2.5nm @ 30kV；</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4.1.1.4加速电压：500V-30kV；</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▲4.1.1.5束流强度：≥100nA；</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bookmarkEnd w:id="85"/>
      <w:r>
        <w:rPr>
          <w:rFonts w:ascii="宋体" w:hAnsi="宋体" w:cs="宋体" w:hint="eastAsia"/>
          <w:color w:val="000000"/>
          <w:position w:val="-20"/>
          <w:sz w:val="24"/>
        </w:rPr>
        <w:t>4.1.2 辅助气体注入系统：</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4.1.2.1拥有独立的分离式气体注入系统，可重新配置；</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4.1.2.2具备金属沉积系统，可在离子束、电子束诱导下进行W等金属的沉积；</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4.1.2.3可增加至5种气体注入系统，拥有10种以上备选过程方案；</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4.1.2.4每种气体配备独立的气体注入器，防止不同气体交叉污染；</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4.1.3 具备可直接导入Bitmap/CAD文件，进行离子束沉积，加工复杂图形的能力；</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4.2 电子束技术要求</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4.2.1 电子枪类型：肖特基（ZrO/W）场发射灯丝：</w:t>
      </w:r>
    </w:p>
    <w:p>
      <w:pPr>
        <w:adjustRightInd w:val="0"/>
        <w:snapToGrid w:val="0"/>
        <w:spacing w:line="360" w:lineRule="auto"/>
        <w:ind w:left="567" w:leftChars="270"/>
        <w:rPr>
          <w:rFonts w:ascii="宋体" w:hAnsi="宋体" w:cs="宋体"/>
          <w:color w:val="000000"/>
          <w:position w:val="-20"/>
          <w:sz w:val="24"/>
        </w:rPr>
      </w:pPr>
      <w:bookmarkStart w:id="86" w:name="_Hlk138232442"/>
      <w:r>
        <w:rPr>
          <w:rFonts w:ascii="宋体" w:hAnsi="宋体" w:cs="宋体" w:hint="eastAsia"/>
          <w:color w:val="000000"/>
          <w:position w:val="-20"/>
          <w:sz w:val="24"/>
        </w:rPr>
        <w:t>▲4.2.1.1分辨率：≤0.6nm@15kV；≤0.9nm@1kV；</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4.2.1.2 束交叉点工作距离：4-5mm；</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4.2.1.3 加速电压：200V-30KV；</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▲4.2.1.4 束流强度：0.8pA-100nA；</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bookmarkEnd w:id="86"/>
      <w:r>
        <w:rPr>
          <w:rFonts w:ascii="宋体" w:hAnsi="宋体" w:cs="宋体" w:hint="eastAsia"/>
          <w:color w:val="000000"/>
          <w:position w:val="-20"/>
          <w:sz w:val="24"/>
        </w:rPr>
        <w:t>4.3 探测器</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4.3.1极靴内探测器（具有二次电子和背散射电子模式）；</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4.3.2样品室内传统二次电子探测器；</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4.3.3样品仓红外CCD相机；</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4.3.4样品仓彩色光学导航相机；</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4.3.5可伸缩性多分割定向背散射电子探测器；</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4.4 样品台</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4.4.1 五轴自动马达驱动样品台；</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 xml:space="preserve">▲4.4.2  </w:t>
      </w:r>
      <w:bookmarkStart w:id="87" w:name="_Hlk138232471"/>
      <w:r>
        <w:rPr>
          <w:rFonts w:ascii="宋体" w:hAnsi="宋体" w:cs="宋体" w:hint="eastAsia"/>
          <w:color w:val="000000"/>
          <w:position w:val="-20"/>
          <w:sz w:val="24"/>
        </w:rPr>
        <w:t>X、Y方向移动范围≥110mm</w:t>
      </w:r>
      <w:bookmarkEnd w:id="87"/>
      <w:r>
        <w:rPr>
          <w:rFonts w:ascii="宋体" w:hAnsi="宋体" w:cs="宋体" w:hint="eastAsia"/>
          <w:color w:val="000000"/>
          <w:position w:val="-20"/>
          <w:sz w:val="24"/>
        </w:rPr>
        <w:t>；</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r>
        <w:rPr>
          <w:rFonts w:ascii="宋体" w:hAnsi="宋体" w:cs="宋体" w:hint="eastAsia"/>
          <w:color w:val="000000"/>
          <w:position w:val="-20"/>
          <w:sz w:val="24"/>
        </w:rPr>
        <w:t xml:space="preserve"> </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4.4.3  Z方向移动范围≥65mm，可绕Z轴旋转任意角度 (360°)；</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 xml:space="preserve">▲4.4.4 </w:t>
      </w:r>
      <w:bookmarkStart w:id="88" w:name="_Hlk138232824"/>
      <w:r>
        <w:rPr>
          <w:rFonts w:ascii="宋体" w:hAnsi="宋体" w:cs="宋体" w:hint="eastAsia"/>
          <w:color w:val="000000"/>
          <w:position w:val="-20"/>
          <w:sz w:val="24"/>
        </w:rPr>
        <w:t>倾角范围包含 -15-90</w:t>
      </w:r>
      <w:bookmarkEnd w:id="88"/>
      <w:r>
        <w:rPr>
          <w:rFonts w:ascii="宋体" w:hAnsi="宋体" w:cs="宋体" w:hint="eastAsia"/>
          <w:color w:val="000000"/>
          <w:position w:val="-20"/>
          <w:sz w:val="24"/>
        </w:rPr>
        <w:t>°；</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hint="eastAsia"/>
          <w:color w:val="000000"/>
          <w:position w:val="-20"/>
          <w:sz w:val="24"/>
        </w:rPr>
      </w:pPr>
      <w:r>
        <w:rPr>
          <w:rFonts w:ascii="宋体" w:hAnsi="宋体" w:cs="宋体" w:hint="eastAsia"/>
          <w:color w:val="000000"/>
          <w:position w:val="-20"/>
          <w:sz w:val="24"/>
        </w:rPr>
        <w:t xml:space="preserve">▲4.4.5 </w:t>
      </w:r>
      <w:bookmarkStart w:id="89" w:name="_Hlk138232836"/>
      <w:r>
        <w:rPr>
          <w:rFonts w:ascii="宋体" w:hAnsi="宋体" w:cs="宋体" w:hint="eastAsia"/>
          <w:color w:val="000000"/>
          <w:position w:val="-20"/>
          <w:sz w:val="24"/>
        </w:rPr>
        <w:t>最大样品直径≥150mm</w:t>
      </w:r>
      <w:bookmarkEnd w:id="89"/>
      <w:r>
        <w:rPr>
          <w:rFonts w:ascii="宋体" w:hAnsi="宋体" w:cs="宋体" w:hint="eastAsia"/>
          <w:color w:val="000000"/>
          <w:position w:val="-20"/>
          <w:sz w:val="24"/>
        </w:rPr>
        <w:t>；</w:t>
      </w:r>
      <w:r>
        <w:rPr>
          <w:rFonts w:hint="eastAsia"/>
          <w:color w:val="000000"/>
          <w:position w:val="-20"/>
          <w:sz w:val="24"/>
        </w:rPr>
        <w:t>（</w:t>
      </w:r>
      <w:r>
        <w:rPr>
          <w:rFonts w:hint="eastAsia"/>
          <w:b/>
          <w:bCs/>
          <w:color w:val="000000"/>
          <w:position w:val="-20"/>
          <w:sz w:val="24"/>
        </w:rPr>
        <w:t>提供官网技术资料截图或公开发行的技术彩页或产品说明书扫描件，原件备查</w:t>
      </w:r>
      <w:r>
        <w:rPr>
          <w:rFonts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4.5 真空系统</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4.5.1 机械干泵真空度≤10</w:t>
      </w:r>
      <w:r>
        <w:rPr>
          <w:rFonts w:ascii="宋体" w:hAnsi="宋体" w:cs="宋体" w:hint="eastAsia"/>
          <w:color w:val="000000"/>
          <w:position w:val="-20"/>
          <w:sz w:val="24"/>
          <w:vertAlign w:val="superscript"/>
        </w:rPr>
        <w:t>-2</w:t>
      </w:r>
      <w:r>
        <w:rPr>
          <w:rFonts w:ascii="宋体" w:hAnsi="宋体" w:cs="宋体" w:hint="eastAsia"/>
          <w:color w:val="000000"/>
          <w:position w:val="-20"/>
          <w:sz w:val="24"/>
        </w:rPr>
        <w:t>Pa；涡轮分子泵真空度≤10</w:t>
      </w:r>
      <w:r>
        <w:rPr>
          <w:rFonts w:ascii="宋体" w:hAnsi="宋体" w:cs="宋体" w:hint="eastAsia"/>
          <w:color w:val="000000"/>
          <w:position w:val="-20"/>
          <w:sz w:val="24"/>
          <w:vertAlign w:val="superscript"/>
        </w:rPr>
        <w:t>-4</w:t>
      </w:r>
      <w:r>
        <w:rPr>
          <w:rFonts w:ascii="宋体" w:hAnsi="宋体" w:cs="宋体" w:hint="eastAsia"/>
          <w:color w:val="000000"/>
          <w:position w:val="-20"/>
          <w:sz w:val="24"/>
        </w:rPr>
        <w:t>Pa；离子泵真空度≤10</w:t>
      </w:r>
      <w:r>
        <w:rPr>
          <w:rFonts w:ascii="宋体" w:hAnsi="宋体" w:cs="宋体" w:hint="eastAsia"/>
          <w:color w:val="000000"/>
          <w:position w:val="-20"/>
          <w:sz w:val="24"/>
          <w:vertAlign w:val="superscript"/>
        </w:rPr>
        <w:t>-6</w:t>
      </w:r>
      <w:r>
        <w:rPr>
          <w:rFonts w:ascii="宋体" w:hAnsi="宋体" w:cs="宋体" w:hint="eastAsia"/>
          <w:color w:val="000000"/>
          <w:position w:val="-20"/>
          <w:sz w:val="24"/>
        </w:rPr>
        <w:t>Pa；</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4.5.2 样品室真空度：&lt;2.8</w:t>
      </w:r>
      <w:r>
        <w:rPr>
          <w:rFonts w:ascii="Symbol" w:hAnsi="Symbol" w:cs="宋体"/>
          <w:color w:val="000000"/>
          <w:position w:val="-20"/>
          <w:sz w:val="24"/>
        </w:rPr>
        <w:sym w:font="Symbol" w:char="F0B4"/>
      </w:r>
      <w:r>
        <w:rPr>
          <w:rFonts w:ascii="宋体" w:hAnsi="宋体" w:cs="宋体" w:hint="eastAsia"/>
          <w:color w:val="000000"/>
          <w:position w:val="-20"/>
          <w:sz w:val="24"/>
        </w:rPr>
        <w:t>10</w:t>
      </w:r>
      <w:r>
        <w:rPr>
          <w:rFonts w:ascii="宋体" w:hAnsi="宋体" w:cs="宋体" w:hint="eastAsia"/>
          <w:color w:val="000000"/>
          <w:position w:val="-20"/>
          <w:sz w:val="24"/>
          <w:vertAlign w:val="superscript"/>
        </w:rPr>
        <w:t>-6</w:t>
      </w:r>
      <w:r>
        <w:rPr>
          <w:rFonts w:ascii="宋体" w:hAnsi="宋体" w:cs="宋体" w:hint="eastAsia"/>
          <w:color w:val="000000"/>
          <w:position w:val="-20"/>
          <w:sz w:val="24"/>
        </w:rPr>
        <w:t>mBar (连续24小时抽真空后)；</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4.6 冷却水系统</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4.6.1 要求有空压机和冷却循环水系统，分别用于冷却SEM镜筒及其它部件；</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4.7 系统控制</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4.7.1 基于Windows 10操作系统的64位图形用户界面，键盘，鼠标；</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4.7.2图像显示：两台24” LCD显示器；</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4.7.3图像处理器：驻留时间25ns/pixel-25ms/pixel，最高像素：65kx×65kx像素，文件格式：TIFF (8, 16 or 24位)，BMP或JPEG格式，单幅或4幅显示；</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4.8应用功能</w:t>
      </w:r>
    </w:p>
    <w:p>
      <w:pPr>
        <w:adjustRightInd w:val="0"/>
        <w:snapToGrid w:val="0"/>
        <w:spacing w:line="360" w:lineRule="auto"/>
        <w:ind w:left="567" w:leftChars="270"/>
        <w:rPr>
          <w:rFonts w:ascii="宋体" w:hAnsi="宋体" w:cs="宋体"/>
          <w:color w:val="000000"/>
          <w:position w:val="-20"/>
          <w:sz w:val="24"/>
        </w:rPr>
      </w:pPr>
      <w:bookmarkStart w:id="90" w:name="_Hlk138232492"/>
      <w:r>
        <w:rPr>
          <w:rFonts w:ascii="宋体" w:hAnsi="宋体" w:cs="宋体" w:hint="eastAsia"/>
          <w:color w:val="000000"/>
          <w:position w:val="-20"/>
          <w:sz w:val="24"/>
        </w:rPr>
        <w:t>▲4.8.1 具有原厂主机软件集成的原位样品自动提出系统，用于制备好透射电镜样品后提出；马达驱动360度无限制旋转。可在双束电镜操作界面直接控制，可实现编程控制机械手的动作；</w:t>
      </w:r>
      <w:r>
        <w:rPr>
          <w:rFonts w:ascii="宋体" w:hAnsi="宋体" w:cs="宋体" w:hint="eastAsia"/>
          <w:b/>
          <w:bCs/>
          <w:color w:val="000000"/>
          <w:position w:val="-20"/>
          <w:sz w:val="24"/>
        </w:rPr>
        <w:t>（</w:t>
      </w:r>
      <w:r>
        <w:rPr>
          <w:rFonts w:hint="eastAsia"/>
          <w:b/>
          <w:bCs/>
          <w:color w:val="000000"/>
          <w:position w:val="-20"/>
          <w:sz w:val="24"/>
        </w:rPr>
        <w:t>提供官网技术资料截图或公开发行的技术彩页或产品说明书扫描件，原件备查</w:t>
      </w:r>
      <w:r>
        <w:rPr>
          <w:rFonts w:ascii="宋体" w:hAnsi="宋体" w:cs="宋体"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▲4.8.2配备自动获取图像并自动拼接超大尺寸图片功能；（</w:t>
      </w:r>
      <w:r>
        <w:rPr>
          <w:rFonts w:hint="eastAsia"/>
          <w:b/>
          <w:bCs/>
          <w:color w:val="000000"/>
          <w:position w:val="-20"/>
          <w:sz w:val="24"/>
        </w:rPr>
        <w:t>提供官网技术资料截图或公开发行的技术彩页或产品说明书扫描件，原件备查</w:t>
      </w:r>
      <w:r>
        <w:rPr>
          <w:rFonts w:ascii="宋体" w:hAnsi="宋体" w:cs="宋体"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▲4.8.3配备自动TEM样品制备软件：可实现自动控制TEM样品制备过程，包括自动控制机械手的伸缩、样品与针尖的焊接、样品减薄、低电压清洗样品非晶区、以及样品的提出及转移焊接至支架的整个制备过程；（</w:t>
      </w:r>
      <w:r>
        <w:rPr>
          <w:rFonts w:hint="eastAsia"/>
          <w:b/>
          <w:bCs/>
          <w:color w:val="000000"/>
          <w:position w:val="-20"/>
          <w:sz w:val="24"/>
        </w:rPr>
        <w:t>提供官网技术资料截图或公开发行的技术彩页或产品说明书扫描件，原件备查</w:t>
      </w:r>
      <w:r>
        <w:rPr>
          <w:rFonts w:ascii="宋体" w:hAnsi="宋体" w:cs="宋体" w:hint="eastAsia"/>
          <w:color w:val="000000"/>
          <w:position w:val="-20"/>
          <w:sz w:val="24"/>
        </w:rPr>
        <w:t>）</w:t>
      </w:r>
    </w:p>
    <w:p>
      <w:pPr>
        <w:adjustRightInd w:val="0"/>
        <w:snapToGrid w:val="0"/>
        <w:spacing w:line="360" w:lineRule="auto"/>
        <w:ind w:left="567" w:leftChars="270"/>
        <w:rPr>
          <w:rFonts w:ascii="宋体" w:hAnsi="宋体" w:cs="宋体"/>
          <w:color w:val="000000"/>
          <w:position w:val="-20"/>
          <w:sz w:val="24"/>
        </w:rPr>
      </w:pPr>
      <w:bookmarkEnd w:id="90"/>
      <w:r>
        <w:rPr>
          <w:rFonts w:ascii="宋体" w:hAnsi="宋体" w:cs="宋体" w:hint="eastAsia"/>
          <w:color w:val="000000"/>
          <w:position w:val="-20"/>
          <w:sz w:val="24"/>
        </w:rPr>
        <w:t>4.8.4具备自动合轴功能：电子束和离子束均具备全自动化合轴功能；</w:t>
      </w:r>
    </w:p>
    <w:p>
      <w:pPr>
        <w:adjustRightInd w:val="0"/>
        <w:snapToGrid w:val="0"/>
        <w:spacing w:line="360" w:lineRule="auto"/>
        <w:ind w:left="567" w:leftChars="270"/>
        <w:rPr>
          <w:rFonts w:ascii="宋体" w:hAnsi="宋体" w:cs="宋体"/>
          <w:color w:val="000000"/>
          <w:position w:val="-20"/>
          <w:sz w:val="24"/>
        </w:rPr>
      </w:pPr>
      <w:r>
        <w:rPr>
          <w:rFonts w:ascii="宋体" w:hAnsi="宋体" w:cs="宋体" w:hint="eastAsia"/>
          <w:color w:val="000000"/>
          <w:position w:val="-20"/>
          <w:sz w:val="24"/>
        </w:rPr>
        <w:t>4.8.5 集成等离子体清洗。</w:t>
      </w:r>
    </w:p>
    <w:p>
      <w:pPr>
        <w:pStyle w:val="PlainText"/>
        <w:numPr>
          <w:ilvl w:val="0"/>
          <w:numId w:val="2"/>
        </w:numPr>
        <w:tabs>
          <w:tab w:val="left" w:pos="540"/>
        </w:tabs>
        <w:adjustRightInd w:val="0"/>
        <w:snapToGrid w:val="0"/>
        <w:spacing w:line="360" w:lineRule="auto"/>
        <w:rPr>
          <w:rFonts w:eastAsia="宋体" w:hAnsi="宋体" w:cs="宋体"/>
          <w:b/>
          <w:sz w:val="24"/>
          <w:szCs w:val="24"/>
        </w:rPr>
      </w:pPr>
      <w:bookmarkEnd w:id="79"/>
      <w:bookmarkEnd w:id="80"/>
      <w:r>
        <w:rPr>
          <w:rFonts w:eastAsia="宋体" w:hAnsi="宋体" w:cs="宋体" w:hint="eastAsia"/>
          <w:b/>
          <w:sz w:val="24"/>
          <w:szCs w:val="24"/>
        </w:rPr>
        <w:t>商务要求</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（一）免费保修期内售后服务要求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1．合同货物整体质量保证期为验收合格之日起</w:t>
      </w:r>
      <w:r>
        <w:rPr>
          <w:rFonts w:ascii="宋体" w:hAnsi="宋体" w:cs="宋体" w:hint="eastAsia"/>
          <w:sz w:val="24"/>
          <w:szCs w:val="24"/>
        </w:rPr>
        <w:softHyphen/>
      </w:r>
      <w:r>
        <w:rPr>
          <w:rFonts w:ascii="宋体" w:hAnsi="宋体" w:cs="宋体" w:hint="eastAsia"/>
          <w:sz w:val="24"/>
          <w:szCs w:val="24"/>
        </w:rPr>
        <w:softHyphen/>
      </w:r>
      <w:r>
        <w:rPr>
          <w:rFonts w:ascii="宋体" w:hAnsi="宋体" w:cs="宋体" w:hint="eastAsia"/>
          <w:sz w:val="24"/>
          <w:szCs w:val="24"/>
        </w:rPr>
        <w:softHyphen/>
      </w:r>
      <w:r>
        <w:rPr>
          <w:rFonts w:ascii="宋体" w:hAnsi="宋体" w:cs="宋体" w:hint="eastAsia"/>
          <w:sz w:val="24"/>
          <w:szCs w:val="24"/>
        </w:rPr>
        <w:t xml:space="preserve"> 12 个月。如果对合同货物中关键部件的质量保证期有特殊要求的，双方可以在补充条款中约定。</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2．免费提供原厂技术人员对采购人的操作技术培训和相关技术资料。培训时间不少于 5 天。</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3．投标人应为质量保证期服务配备充足的技术人员、工具和备件并保证提供的联系方式畅通。投标人应在收到采购人通知后 24 小时内作出响应，如需投标人到合同货物现场，投标人应在收到采购人通知后 48 小时内到达，并在到达后 7 日内解决合同货物的故障（重大故障除外）。如果投标人未在上述时间内作出响应，则采购人有权自行或委托他人解决相关问题或查找和解决合同货物的故障，投标人应承担由此发生的全部费用。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4．投标人在质量保证期内应对设备进行定期巡检。</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（二）免费保修期外售后服务要求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1．软件更新设备主体不升级情况下，确保所提供的软件可随设备终身免费有效使用。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2.整机承保及费用需对所提供的设备终身承保，延保费用不高于同期同类型设备维修或维护的市场价格。</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（三）其他商务要求</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1．关于交货</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1.1 交货地点：清华大学深圳国际研究生院能源环境大楼F205室。</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1.2 投标人需承担的设备运输、安装调试、验收检测和提供设备操作说明书、图纸等其他类似的义务。</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1.3 签订合同后 540 天（日历日）内交货。</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 xml:space="preserve">2．关于验收 </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2.1投标人货物经过双方检验认可后，签署验收报告，产品保修期自验收合格之日起算，由投标人提供产品保修文件。</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2.2当满足以下条件时，采购人才向中标人签发货物验收报告：</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a．中标人已按照合同规定提供了全部产品及完整的技术资料。</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b．货物符合招标文件技术规格书的要求，性能满足要求。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c．货物具备产品合格证。</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 xml:space="preserve">3．关于违约 </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3.3.1 中标人不能交货的，需偿付不能交货部分货款的10%的违约金并按主管部门相关规定处理。</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3.3.2 中标人未能按时交付合同货物（包含仅延迟交付技术资料但足以导致合同货物安装、调试、考核、验收工作推迟的）的，中标人按照每逾期一日合同价款万分之五的标准向采购人支付迟延交付违约金，逾期超过30日，采购人有权解除合同，并要求中标人支付合同价款30%的违约金，违约金不足以弥补采购人损失的，中标人应继续赔偿采购人所有损失，按主管部门相关规定处理。</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3.3.3 中标人所交付产品、工程或服务不符合其投标承诺的，或在投标阶段为了中标而盲目虚假承诺、低价恶性竞争，在履约阶段则通过偷工减料、以次充好而获取利润的，并被履约评价工作实施机构评为履约等级“差”并按主管部门相关规定处理。</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 xml:space="preserve">★4．关于报价方式及要求 </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产货物：人民币报价，投标价包含仪器设备的价款、税费、包装、运输、装卸、安装、调试、技术指导、培训、咨询、服务、保险、检测、验收合格交付使用之前以及技术和售后服务、质保期退运返修等其他所有费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进口免税产品报价说明：</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1）若本项目需要使用美元结算时，则按中国银行（现汇卖出价）开标当日开标时人民币兑美元的汇率作为结算汇率；</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2）若参与投标的进口货物免税报价时，如有国内供货部分需在《投标分项报价表》上注明含税报价，届时需要提供税务局出具的有效发票，否则不予支付该部分货款。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3）依据国家相关法律法规，项目中不可免税部分请单报人民币含税价格。</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adjustRightInd w:val="0"/>
        <w:snapToGrid w:val="0"/>
        <w:spacing w:line="360" w:lineRule="auto"/>
        <w:ind w:firstLine="420" w:firstLineChars="200"/>
        <w:rPr>
          <w:rFonts w:ascii="宋体" w:hAnsi="宋体" w:cs="宋体"/>
          <w:kern w:val="0"/>
          <w:sz w:val="24"/>
        </w:rPr>
      </w:pPr>
      <w:r>
        <w:rPr>
          <w:rFonts w:ascii="宋体" w:hAnsi="宋体" w:cs="宋体" w:hint="eastAsia"/>
          <w:sz w:val="24"/>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★5．付款方式</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国内合同：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（1）合同生效后，采购方在十五日内，向中标人支付合同价款的20%，2024年财政拨款批复到位后，再向中标人支付合同价款的50%，作为预付款；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（2）设备到货安装验收合格后，凭下列全部单据并经审核无误后十五日内，向中标人支付合同价款的25%：</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① 中标人出具的交货清单原件一份；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② 采购方签署的收货清单复印件一份；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③ 货物验收记录复印件一份；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④ 制造商出具的出厂质量合格证原件一份；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⑤ 增值税（专用/普通）发票原件一份。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（3）在货物验收合格并稳定运行12个月后，在收到中标人增值税（专用/普通）发票原件一份并经审核无误后15日内，采购方向中标人支付剩余5%的余款。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如果中标人不履行合同约定的义务或其履行义务不符合合同的约定，采购方有权直接从应付中标人的任何一笔款项中扣减采购方应得之补偿。不足部分，采购方有权继续向中标人进行追偿。</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（4）免费保修期自验收合格之日起计。</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进口（外贸）合同：</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货款支付上限为：中标/成交人民币价格。</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信用证付款</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（1）签</w:t>
      </w:r>
      <w:r>
        <w:rPr>
          <w:rFonts w:ascii="宋体" w:hAnsi="宋体" w:cs="宋体" w:hint="eastAsia"/>
          <w:sz w:val="24"/>
          <w:szCs w:val="24"/>
          <w:lang w:val="en-US" w:eastAsia="zh-CN"/>
        </w:rPr>
        <w:t>订</w:t>
      </w:r>
      <w:r>
        <w:rPr>
          <w:rFonts w:ascii="宋体" w:hAnsi="宋体" w:cs="宋体" w:hint="eastAsia"/>
          <w:sz w:val="24"/>
          <w:szCs w:val="24"/>
        </w:rPr>
        <w:t>外贸合同后，买方代理收到买方20% 货款后, 买方代理对外开具合同总额的20%不可撤销信用证给卖方；2024年财政拨款批复到位后，买方代理收到买方50% 货款后, 买方代理对外开具合同总额的50%不可撤销信用证给卖方；</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（2） 货到验收合格后，买方代理收到买方25%货款后，买方代理电汇支付25%货款给卖方；</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（3）验收满1年后，买方代理收到买方5%货款后，买方代理电汇支付5% 货款给卖方（合同执行期间产生的外币汇率损失由卖方承担）；</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（4）质量保证期自验收合格之日起计；</w:t>
      </w:r>
    </w:p>
    <w:p>
      <w:pPr>
        <w:pStyle w:val="NormalIndent"/>
        <w:adjustRightInd w:val="0"/>
        <w:snapToGrid w:val="0"/>
        <w:spacing w:line="360" w:lineRule="auto"/>
        <w:ind w:firstLine="480"/>
        <w:rPr>
          <w:rFonts w:ascii="宋体" w:hAnsi="宋体" w:cs="宋体"/>
          <w:color w:val="0D0D0D"/>
          <w:sz w:val="24"/>
          <w:szCs w:val="24"/>
        </w:rPr>
      </w:pPr>
      <w:r>
        <w:rPr>
          <w:rFonts w:ascii="宋体" w:hAnsi="宋体" w:cs="宋体" w:hint="eastAsia"/>
          <w:sz w:val="24"/>
          <w:szCs w:val="24"/>
        </w:rPr>
        <w:t>（5）如果采用外币结算，汇率取开标日中国人民银行公布的汇率中间价</w:t>
      </w:r>
      <w:r>
        <w:rPr>
          <w:rFonts w:ascii="宋体" w:hAnsi="宋体" w:cs="宋体" w:hint="eastAsia"/>
          <w:color w:val="0D0D0D"/>
          <w:sz w:val="24"/>
          <w:szCs w:val="24"/>
        </w:rPr>
        <w:t>。</w:t>
      </w:r>
    </w:p>
    <w:p>
      <w:pPr>
        <w:adjustRightInd w:val="0"/>
        <w:snapToGrid w:val="0"/>
        <w:spacing w:line="360" w:lineRule="auto"/>
        <w:ind w:firstLine="420" w:firstLineChars="200"/>
        <w:rPr>
          <w:b/>
          <w:bCs/>
          <w:sz w:val="28"/>
          <w:szCs w:val="28"/>
        </w:rPr>
      </w:pPr>
      <w:r>
        <w:rPr>
          <w:rFonts w:hint="eastAsia"/>
          <w:b/>
          <w:bCs/>
          <w:sz w:val="28"/>
          <w:szCs w:val="28"/>
        </w:rPr>
        <w:br w:type="page"/>
      </w:r>
    </w:p>
    <w:p>
      <w:pPr>
        <w:adjustRightInd w:val="0"/>
        <w:snapToGrid w:val="0"/>
        <w:spacing w:line="360" w:lineRule="auto"/>
        <w:jc w:val="center"/>
        <w:rPr>
          <w:b/>
          <w:bCs/>
          <w:sz w:val="28"/>
          <w:szCs w:val="28"/>
          <w:highlight w:val="yellow"/>
        </w:rPr>
      </w:pPr>
      <w:bookmarkEnd w:id="57"/>
      <w:bookmarkEnd w:id="58"/>
      <w:bookmarkEnd w:id="59"/>
      <w:bookmarkStart w:id="91" w:name="_Toc13067019"/>
      <w:bookmarkStart w:id="92" w:name="_Toc9211"/>
      <w:bookmarkStart w:id="93" w:name="_Toc13067017"/>
      <w:bookmarkStart w:id="94" w:name="_Toc435109306"/>
      <w:bookmarkStart w:id="95" w:name="_Toc13067022"/>
      <w:bookmarkStart w:id="96" w:name="_Toc435514850"/>
      <w:bookmarkStart w:id="97" w:name="_Toc435115055"/>
      <w:r>
        <w:rPr>
          <w:rFonts w:hint="eastAsia"/>
          <w:b/>
          <w:bCs/>
          <w:sz w:val="28"/>
          <w:szCs w:val="28"/>
        </w:rPr>
        <w:t>第三章 评标方法</w:t>
      </w:r>
      <w:bookmarkEnd w:id="91"/>
      <w:r>
        <w:rPr>
          <w:rFonts w:hint="eastAsia"/>
          <w:b/>
          <w:bCs/>
          <w:sz w:val="28"/>
          <w:szCs w:val="28"/>
        </w:rPr>
        <w:t>和标准</w:t>
      </w:r>
      <w:bookmarkEnd w:id="92"/>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98" w:name="_Toc435514846"/>
      <w:r>
        <w:rPr>
          <w:rFonts w:ascii="黑体" w:eastAsia="黑体" w:hAnsi="宋体" w:cs="宋体"/>
          <w:sz w:val="28"/>
          <w:szCs w:val="28"/>
        </w:rPr>
        <w:br w:type="page"/>
      </w:r>
    </w:p>
    <w:p>
      <w:pPr>
        <w:jc w:val="center"/>
        <w:rPr>
          <w:b/>
          <w:bCs/>
          <w:color w:val="FF0000"/>
          <w:sz w:val="28"/>
          <w:szCs w:val="28"/>
        </w:rPr>
      </w:pPr>
      <w:bookmarkEnd w:id="98"/>
      <w:bookmarkStart w:id="99" w:name="_Toc30664355"/>
      <w:bookmarkStart w:id="100" w:name="_Toc435514848"/>
      <w:r>
        <w:rPr>
          <w:rFonts w:hint="eastAsia"/>
          <w:b/>
          <w:bCs/>
          <w:sz w:val="28"/>
          <w:szCs w:val="28"/>
        </w:rPr>
        <w:t>投标文件初审</w:t>
      </w:r>
      <w:bookmarkEnd w:id="99"/>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参与本项目投标前三年内，在经营活动中没有重大违法记录</w:t>
            </w:r>
            <w:r>
              <w:rPr>
                <w:rFonts w:ascii="宋体" w:hAnsi="宋体" w:cs="宋体" w:hint="eastAsia"/>
                <w:bCs/>
                <w:sz w:val="24"/>
              </w:rPr>
              <w:t>（提供《政府采购投标及履约承诺函》）</w:t>
            </w:r>
            <w:r>
              <w:rPr>
                <w:rFonts w:ascii="宋体" w:hAnsi="宋体" w:cs="宋体" w:hint="eastAsia"/>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sz w:val="24"/>
              </w:rPr>
              <w:t>参与本项目政府采购活动时不存在被有关部门禁止参与政府采购活动且在有效期内的情况</w:t>
            </w:r>
            <w:r>
              <w:rPr>
                <w:rFonts w:ascii="宋体" w:hAnsi="宋体" w:cs="宋体" w:hint="eastAsia"/>
                <w:bCs/>
                <w:sz w:val="24"/>
              </w:rPr>
              <w:t>（提供《政府采购投标及履约承诺函》）</w:t>
            </w:r>
            <w:r>
              <w:rPr>
                <w:rFonts w:ascii="宋体" w:hAnsi="宋体" w:cs="宋体"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bCs/>
                <w:sz w:val="24"/>
              </w:rPr>
              <w:t>为采购项目提供整体设计、规范编制或者项目管理、监理、检测等服务的供应商，不得再参加该采购项目同一合同项下的其他采购活动（提供《政府采购投标及履约承诺函》）。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单位负责人为同一人或者存在直接控股、管理关系的不同供应商，不得参加同一合同项下的政府采购活动（提供《政府采购投标及履约承诺函》）。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参与政府采购项目投标的供应商未被列入失信被执行人、重大税收违法案件当事人名单（税收违法黑名单）、政府采购严重违法失信行为记录名单（提供《政府采购投标及履约承诺函》）。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567"/>
              </w:tabs>
              <w:snapToGrid w:val="0"/>
              <w:rPr>
                <w:rFonts w:ascii="宋体" w:hAnsi="宋体" w:cs="宋体"/>
                <w:bCs/>
                <w:sz w:val="24"/>
              </w:rPr>
            </w:pPr>
            <w:r>
              <w:rPr>
                <w:rFonts w:ascii="宋体" w:hAnsi="宋体" w:cs="宋体"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本项目不接受联合体投标，不允许分包、转包。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Theme="minorEastAsia" w:eastAsiaTheme="minorEastAsia" w:hAnsiTheme="minorEastAsia" w:hint="eastAsia"/>
                <w:sz w:val="24"/>
              </w:rPr>
              <w:t>接受投标人选用进口产品参与投标，若所投产品为进口，则投标人必须提供由设备制造商或授权的中国代理签署的合法有效的针对所投标产品对应商品授权书；若所投产品为国产产品，则无需提供。</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101" w:name="_Hlk34398339"/>
            <w:r>
              <w:rPr>
                <w:rFonts w:ascii="宋体" w:hAnsi="宋体" w:cs="宋体" w:hint="eastAsia"/>
                <w:b/>
                <w:sz w:val="24"/>
              </w:rPr>
              <w:t>符合性审查</w:t>
            </w:r>
            <w:bookmarkEnd w:id="101"/>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tc>
      </w:tr>
      <w:tr>
        <w:tblPrEx>
          <w:tblW w:w="9303" w:type="dxa"/>
          <w:tblInd w:w="108" w:type="dxa"/>
          <w:tblLayout w:type="fixed"/>
          <w:tblCellMar>
            <w:top w:w="0" w:type="dxa"/>
            <w:left w:w="108" w:type="dxa"/>
            <w:bottom w:w="0" w:type="dxa"/>
            <w:right w:w="108" w:type="dxa"/>
          </w:tblCellMar>
        </w:tblPrEx>
        <w:trPr>
          <w:cantSplit/>
          <w:trHeight w:val="664"/>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评审部分</w:t>
            </w:r>
          </w:p>
        </w:tc>
        <w:tc>
          <w:tcPr>
            <w:tcW w:w="1355"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评审因素</w:t>
            </w:r>
          </w:p>
        </w:tc>
        <w:tc>
          <w:tcPr>
            <w:tcW w:w="573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评分细则</w:t>
            </w:r>
          </w:p>
        </w:tc>
        <w:tc>
          <w:tcPr>
            <w:tcW w:w="685" w:type="dxa"/>
            <w:tcBorders>
              <w:righ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权重（%）</w:t>
            </w:r>
          </w:p>
        </w:tc>
        <w:tc>
          <w:tcPr>
            <w:tcW w:w="792" w:type="dxa"/>
            <w:tcBorders>
              <w:lef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一</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技术保障措施</w:t>
            </w:r>
          </w:p>
        </w:tc>
        <w:tc>
          <w:tcPr>
            <w:tcW w:w="5730" w:type="dxa"/>
            <w:vAlign w:val="center"/>
          </w:tcPr>
          <w:p>
            <w:pPr>
              <w:pStyle w:val="BodyText"/>
              <w:adjustRightInd w:val="0"/>
              <w:snapToGrid w:val="0"/>
              <w:spacing w:after="0"/>
              <w:rPr>
                <w:rFonts w:ascii="宋体" w:hAnsi="宋体" w:cs="宋体"/>
                <w:sz w:val="24"/>
              </w:rPr>
            </w:pPr>
            <w:r>
              <w:rPr>
                <w:rFonts w:ascii="宋体" w:hAnsi="宋体" w:cs="宋体" w:hint="eastAsia"/>
                <w:sz w:val="24"/>
              </w:rPr>
              <w:t>（一）评审内容：</w:t>
            </w:r>
          </w:p>
          <w:p>
            <w:pPr>
              <w:pStyle w:val="BodyText"/>
              <w:adjustRightInd w:val="0"/>
              <w:snapToGrid w:val="0"/>
              <w:spacing w:after="0"/>
              <w:rPr>
                <w:rFonts w:ascii="宋体" w:hAnsi="宋体" w:cs="宋体"/>
                <w:sz w:val="24"/>
              </w:rPr>
            </w:pPr>
            <w:r>
              <w:rPr>
                <w:rFonts w:ascii="宋体" w:hAnsi="宋体" w:cs="宋体" w:hint="eastAsia"/>
                <w:sz w:val="24"/>
              </w:rPr>
              <w:t>投标人结合本项目实际提供项目技术保障措施，应包括内容：</w:t>
            </w:r>
          </w:p>
          <w:p>
            <w:pPr>
              <w:pStyle w:val="BodyText"/>
              <w:adjustRightInd w:val="0"/>
              <w:snapToGrid w:val="0"/>
              <w:spacing w:after="0"/>
              <w:rPr>
                <w:rFonts w:ascii="宋体" w:hAnsi="宋体" w:cs="宋体"/>
                <w:sz w:val="24"/>
              </w:rPr>
            </w:pPr>
            <w:r>
              <w:rPr>
                <w:rFonts w:ascii="宋体" w:hAnsi="宋体" w:cs="宋体" w:hint="eastAsia"/>
                <w:sz w:val="24"/>
              </w:rPr>
              <w:t>1、投标产品的质量可靠性和先进性说明；</w:t>
            </w:r>
          </w:p>
          <w:p>
            <w:pPr>
              <w:pStyle w:val="BodyText"/>
              <w:adjustRightInd w:val="0"/>
              <w:snapToGrid w:val="0"/>
              <w:spacing w:after="0"/>
              <w:rPr>
                <w:rFonts w:ascii="宋体" w:hAnsi="宋体" w:cs="宋体"/>
                <w:sz w:val="24"/>
              </w:rPr>
            </w:pPr>
            <w:r>
              <w:rPr>
                <w:rFonts w:ascii="宋体" w:hAnsi="宋体" w:cs="宋体" w:hint="eastAsia"/>
                <w:sz w:val="24"/>
              </w:rPr>
              <w:t>2、供货和安装进度计划；</w:t>
            </w:r>
          </w:p>
          <w:p>
            <w:pPr>
              <w:pStyle w:val="BodyText"/>
              <w:adjustRightInd w:val="0"/>
              <w:snapToGrid w:val="0"/>
              <w:spacing w:after="0"/>
              <w:rPr>
                <w:rFonts w:ascii="宋体" w:hAnsi="宋体" w:cs="宋体"/>
                <w:sz w:val="24"/>
              </w:rPr>
            </w:pPr>
            <w:r>
              <w:rPr>
                <w:rFonts w:ascii="宋体" w:hAnsi="宋体" w:cs="宋体" w:hint="eastAsia"/>
                <w:sz w:val="24"/>
              </w:rPr>
              <w:t>3、供货时间节点和步骤；</w:t>
            </w:r>
          </w:p>
          <w:p>
            <w:pPr>
              <w:pStyle w:val="BodyText"/>
              <w:adjustRightInd w:val="0"/>
              <w:snapToGrid w:val="0"/>
              <w:spacing w:after="0"/>
              <w:rPr>
                <w:rFonts w:ascii="宋体" w:hAnsi="宋体" w:cs="宋体"/>
                <w:sz w:val="24"/>
              </w:rPr>
            </w:pPr>
            <w:r>
              <w:rPr>
                <w:rFonts w:ascii="宋体" w:hAnsi="宋体" w:cs="宋体" w:hint="eastAsia"/>
                <w:sz w:val="24"/>
              </w:rPr>
              <w:t>4、人员安排和分工；</w:t>
            </w:r>
          </w:p>
          <w:p>
            <w:pPr>
              <w:pStyle w:val="BodyText"/>
              <w:adjustRightInd w:val="0"/>
              <w:snapToGrid w:val="0"/>
              <w:spacing w:after="0"/>
              <w:rPr>
                <w:rFonts w:ascii="宋体" w:hAnsi="宋体" w:cs="宋体"/>
                <w:sz w:val="24"/>
              </w:rPr>
            </w:pPr>
            <w:r>
              <w:rPr>
                <w:rFonts w:ascii="宋体" w:hAnsi="宋体" w:cs="宋体" w:hint="eastAsia"/>
                <w:sz w:val="24"/>
              </w:rPr>
              <w:t>5、突发情况应对措施。</w:t>
            </w:r>
          </w:p>
          <w:p>
            <w:pPr>
              <w:pStyle w:val="BodyText"/>
              <w:adjustRightInd w:val="0"/>
              <w:snapToGrid w:val="0"/>
              <w:spacing w:after="0"/>
              <w:rPr>
                <w:rFonts w:ascii="宋体" w:hAnsi="宋体" w:cs="宋体"/>
                <w:sz w:val="24"/>
              </w:rPr>
            </w:pPr>
            <w:r>
              <w:rPr>
                <w:rFonts w:ascii="宋体" w:hAnsi="宋体" w:cs="宋体" w:hint="eastAsia"/>
                <w:sz w:val="24"/>
              </w:rPr>
              <w:t xml:space="preserve">（二）评分依据： </w:t>
            </w:r>
          </w:p>
          <w:p>
            <w:pPr>
              <w:pStyle w:val="CommentText"/>
              <w:adjustRightInd w:val="0"/>
              <w:snapToGrid w:val="0"/>
              <w:rPr>
                <w:rFonts w:ascii="宋体" w:eastAsia="宋体" w:hAnsi="宋体" w:cs="宋体"/>
                <w:sz w:val="24"/>
              </w:rPr>
            </w:pPr>
            <w:r>
              <w:rPr>
                <w:rFonts w:ascii="宋体" w:eastAsia="宋体" w:hAnsi="宋体" w:cs="宋体" w:hint="eastAsia"/>
                <w:sz w:val="24"/>
              </w:rPr>
              <w:t>每满足一点得15分，满分75分。</w:t>
            </w:r>
          </w:p>
          <w:p>
            <w:pPr>
              <w:pStyle w:val="CommentText"/>
              <w:adjustRightInd w:val="0"/>
              <w:snapToGrid w:val="0"/>
              <w:rPr>
                <w:rFonts w:ascii="宋体" w:eastAsia="宋体" w:hAnsi="宋体" w:cs="宋体"/>
                <w:sz w:val="24"/>
              </w:rPr>
            </w:pPr>
            <w:r>
              <w:rPr>
                <w:rFonts w:ascii="宋体" w:eastAsia="宋体" w:hAnsi="宋体" w:cs="宋体" w:hint="eastAsia"/>
                <w:sz w:val="24"/>
              </w:rPr>
              <w:t>在以上内容全部满足的情况下，每满足以下一点得12.5分，最高得25分。</w:t>
            </w:r>
          </w:p>
          <w:p>
            <w:pPr>
              <w:pStyle w:val="CommentText"/>
              <w:adjustRightInd w:val="0"/>
              <w:snapToGrid w:val="0"/>
              <w:rPr>
                <w:rFonts w:ascii="宋体" w:eastAsia="宋体" w:hAnsi="宋体" w:cs="宋体"/>
                <w:sz w:val="24"/>
              </w:rPr>
            </w:pPr>
            <w:r>
              <w:rPr>
                <w:rFonts w:ascii="宋体" w:eastAsia="宋体" w:hAnsi="宋体" w:cs="宋体" w:hint="eastAsia"/>
                <w:sz w:val="24"/>
              </w:rPr>
              <w:t>1、明确指出使用的关键技术，安全技术等;</w:t>
            </w:r>
          </w:p>
          <w:p>
            <w:pPr>
              <w:pStyle w:val="CommentText"/>
              <w:adjustRightInd w:val="0"/>
              <w:snapToGrid w:val="0"/>
              <w:rPr>
                <w:rFonts w:ascii="宋体" w:eastAsia="宋体" w:hAnsi="宋体" w:cs="宋体"/>
                <w:sz w:val="24"/>
              </w:rPr>
            </w:pPr>
            <w:r>
              <w:rPr>
                <w:rFonts w:ascii="宋体" w:eastAsia="宋体" w:hAnsi="宋体" w:cs="宋体" w:hint="eastAsia"/>
                <w:sz w:val="24"/>
              </w:rPr>
              <w:t>2、明确指出项目组织管理，指出人员和项目管理制度、组织架构、人员配置、职责分工。</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kern w:val="0"/>
                <w:sz w:val="24"/>
              </w:rPr>
              <w:t>技术规格偏离情况</w:t>
            </w:r>
          </w:p>
        </w:tc>
        <w:tc>
          <w:tcPr>
            <w:tcW w:w="5730" w:type="dxa"/>
            <w:vAlign w:val="center"/>
          </w:tcPr>
          <w:p>
            <w:pPr>
              <w:widowControl/>
              <w:adjustRightInd w:val="0"/>
              <w:snapToGrid w:val="0"/>
              <w:jc w:val="left"/>
              <w:rPr>
                <w:rFonts w:ascii="宋体" w:hAnsi="宋体" w:cs="宋体"/>
                <w:sz w:val="24"/>
                <w:highlight w:val="yellow"/>
              </w:rPr>
            </w:pPr>
            <w:r>
              <w:rPr>
                <w:rFonts w:ascii="宋体" w:hAnsi="宋体" w:cs="宋体" w:hint="eastAsia"/>
                <w:kern w:val="0"/>
                <w:sz w:val="24"/>
              </w:rPr>
              <w:t>投标人应如实填写《技术要求偏离表》，评审委员会根据</w:t>
            </w:r>
            <w:r>
              <w:rPr>
                <w:rFonts w:ascii="宋体" w:hAnsi="宋体" w:cs="宋体" w:hint="eastAsia"/>
                <w:b/>
                <w:bCs/>
                <w:kern w:val="0"/>
                <w:sz w:val="24"/>
              </w:rPr>
              <w:t>招标文件第二章用户需求书 四.技术规格4．技术要求的</w:t>
            </w:r>
            <w:r>
              <w:rPr>
                <w:rFonts w:ascii="宋体" w:hAnsi="宋体" w:cs="宋体" w:hint="eastAsia"/>
                <w:kern w:val="0"/>
                <w:sz w:val="24"/>
              </w:rPr>
              <w:t>技术需求参数响应情况进行打分，各项技术参数指标及要求全部满足的得100分，所有标注“▲”的重要参数每项负偏离一条扣8分，一般参数每负偏离一条扣0.8分，扣完为止</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二</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免费保修期内售后服务条款偏离情况</w:t>
            </w:r>
          </w:p>
        </w:tc>
        <w:tc>
          <w:tcPr>
            <w:tcW w:w="5730" w:type="dxa"/>
            <w:vAlign w:val="center"/>
          </w:tcPr>
          <w:p>
            <w:pPr>
              <w:adjustRightInd w:val="0"/>
              <w:snapToGrid w:val="0"/>
              <w:jc w:val="left"/>
              <w:rPr>
                <w:rFonts w:ascii="宋体" w:hAnsi="宋体" w:cs="宋体"/>
                <w:sz w:val="24"/>
              </w:rPr>
            </w:pPr>
            <w:r>
              <w:rPr>
                <w:rFonts w:ascii="宋体" w:hAnsi="宋体" w:cs="宋体" w:hint="eastAsia"/>
                <w:sz w:val="24"/>
              </w:rPr>
              <w:t>投标人应如实填写《商务要求偏离表（免费保修期内售后服务要求）》，评审委员会根据响应情况进行打分，全部满足要求的得100分，每负偏离一项扣25分。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90"/>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kern w:val="0"/>
                <w:sz w:val="24"/>
              </w:rPr>
            </w:pPr>
            <w:r>
              <w:rPr>
                <w:rFonts w:ascii="宋体" w:hAnsi="宋体" w:cs="宋体" w:hint="eastAsia"/>
                <w:sz w:val="24"/>
              </w:rPr>
              <w:t>免费保修期外售后服务条款偏离情况</w:t>
            </w:r>
          </w:p>
        </w:tc>
        <w:tc>
          <w:tcPr>
            <w:tcW w:w="5730" w:type="dxa"/>
            <w:vAlign w:val="center"/>
          </w:tcPr>
          <w:p>
            <w:pPr>
              <w:adjustRightInd w:val="0"/>
              <w:snapToGrid w:val="0"/>
              <w:jc w:val="left"/>
              <w:rPr>
                <w:rFonts w:ascii="宋体" w:hAnsi="宋体" w:cs="宋体"/>
                <w:sz w:val="24"/>
              </w:rPr>
            </w:pPr>
            <w:r>
              <w:rPr>
                <w:rFonts w:ascii="宋体" w:hAnsi="宋体" w:cs="宋体" w:hint="eastAsia"/>
                <w:sz w:val="24"/>
              </w:rPr>
              <w:t>投标人应如实填写《商务要求偏离表（免费保修期外售后服务要求）》，评审委员会根据响应情况进行打分，全部满足要求的得100分，每负偏离一项扣50分。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ind w:left="59" w:leftChars="28"/>
              <w:rPr>
                <w:rFonts w:ascii="宋体" w:hAnsi="宋体" w:cs="宋体"/>
                <w:sz w:val="24"/>
              </w:rPr>
            </w:pPr>
            <w:r>
              <w:rPr>
                <w:rFonts w:ascii="宋体" w:hAnsi="宋体" w:cs="宋体" w:hint="eastAsia"/>
                <w:sz w:val="24"/>
              </w:rPr>
              <w:t>其他商务条款偏离情况</w:t>
            </w:r>
          </w:p>
        </w:tc>
        <w:tc>
          <w:tcPr>
            <w:tcW w:w="5730" w:type="dxa"/>
            <w:vAlign w:val="center"/>
          </w:tcPr>
          <w:p>
            <w:pPr>
              <w:adjustRightInd w:val="0"/>
              <w:snapToGrid w:val="0"/>
              <w:ind w:left="59" w:leftChars="28"/>
              <w:rPr>
                <w:rFonts w:ascii="宋体" w:hAnsi="宋体" w:cs="宋体"/>
                <w:sz w:val="24"/>
              </w:rPr>
            </w:pPr>
            <w:r>
              <w:rPr>
                <w:rFonts w:ascii="宋体" w:hAnsi="宋体" w:cs="宋体" w:hint="eastAsia"/>
                <w:sz w:val="24"/>
              </w:rPr>
              <w:t>投标人应如实填写《商务要求偏离表（其他商务要求）》，评审委员会根据响应情况进行打分，全部满足要求的得100分，每负偏离一项扣12.5分。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427"/>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ind w:left="59" w:leftChars="28"/>
              <w:rPr>
                <w:rFonts w:ascii="宋体" w:hAnsi="宋体" w:cs="宋体"/>
                <w:sz w:val="24"/>
              </w:rPr>
            </w:pPr>
            <w:r>
              <w:rPr>
                <w:rFonts w:ascii="宋体" w:hAnsi="宋体" w:cs="宋体" w:hint="eastAsia"/>
                <w:sz w:val="24"/>
              </w:rPr>
              <w:t>投标人近三年同类业绩（以合同签订时间为准）</w:t>
            </w:r>
          </w:p>
          <w:p>
            <w:pPr>
              <w:adjustRightInd w:val="0"/>
              <w:snapToGrid w:val="0"/>
              <w:ind w:left="59" w:leftChars="28"/>
              <w:rPr>
                <w:rFonts w:ascii="宋体" w:hAnsi="宋体" w:cs="宋体"/>
                <w:sz w:val="24"/>
              </w:rPr>
            </w:pPr>
          </w:p>
        </w:tc>
        <w:tc>
          <w:tcPr>
            <w:tcW w:w="5730" w:type="dxa"/>
            <w:vAlign w:val="center"/>
          </w:tcPr>
          <w:p>
            <w:pPr>
              <w:adjustRightInd w:val="0"/>
              <w:snapToGrid w:val="0"/>
              <w:ind w:left="59" w:leftChars="28"/>
              <w:rPr>
                <w:rFonts w:ascii="宋体" w:hAnsi="宋体" w:cs="宋体"/>
                <w:sz w:val="24"/>
              </w:rPr>
            </w:pPr>
            <w:r>
              <w:rPr>
                <w:rFonts w:ascii="宋体" w:hAnsi="宋体" w:cs="宋体" w:hint="eastAsia"/>
                <w:sz w:val="24"/>
              </w:rPr>
              <w:t>提供自2020年8月至本项目投标截止日，3个电子显微镜同类业绩即得满分，提供2个得60分，提供1个得30分，未提供的不得分。投标人必须在投标文件中提供每一个项目的合同和验收报告（均加盖合同甲方公章或业务章）扫描件，原件备查，否则不得分。</w:t>
            </w:r>
          </w:p>
        </w:tc>
        <w:tc>
          <w:tcPr>
            <w:tcW w:w="685" w:type="dxa"/>
            <w:tcBorders>
              <w:right w:val="single" w:sz="4" w:space="0" w:color="auto"/>
            </w:tcBorders>
            <w:vAlign w:val="center"/>
          </w:tcPr>
          <w:p>
            <w:pPr>
              <w:adjustRightInd w:val="0"/>
              <w:snapToGrid w:val="0"/>
              <w:ind w:left="-63" w:leftChars="-3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诚信</w:t>
            </w:r>
          </w:p>
        </w:tc>
        <w:tc>
          <w:tcPr>
            <w:tcW w:w="5730" w:type="dxa"/>
            <w:vAlign w:val="center"/>
          </w:tcPr>
          <w:p>
            <w:pPr>
              <w:adjustRightInd w:val="0"/>
              <w:snapToGrid w:val="0"/>
              <w:ind w:left="59" w:leftChars="28"/>
              <w:rPr>
                <w:rFonts w:ascii="宋体" w:hAnsi="宋体" w:cs="宋体"/>
                <w:b/>
                <w:sz w:val="24"/>
                <w:highlight w:val="lightGray"/>
              </w:rPr>
            </w:pPr>
            <w:r>
              <w:rPr>
                <w:rFonts w:ascii="宋体" w:hAnsi="宋体" w:cs="宋体" w:hint="eastAsia"/>
                <w:sz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adjustRightInd w:val="0"/>
              <w:snapToGrid w:val="0"/>
              <w:jc w:val="center"/>
              <w:rPr>
                <w:rFonts w:ascii="宋体" w:hAnsi="宋体" w:cs="宋体"/>
                <w:b/>
                <w:sz w:val="24"/>
              </w:rPr>
            </w:pPr>
            <w:r>
              <w:rPr>
                <w:rFonts w:ascii="宋体" w:hAnsi="宋体" w:cs="宋体" w:hint="eastAsia"/>
                <w:b/>
                <w:sz w:val="24"/>
              </w:rPr>
              <w:t>三</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adjustRightInd w:val="0"/>
              <w:snapToGrid w:val="0"/>
              <w:jc w:val="center"/>
              <w:rPr>
                <w:rFonts w:ascii="宋体" w:hAnsi="宋体" w:cs="宋体"/>
                <w:sz w:val="24"/>
              </w:rPr>
            </w:pPr>
            <w:r>
              <w:rPr>
                <w:rFonts w:ascii="宋体" w:hAnsi="宋体" w:cs="宋体" w:hint="eastAsia"/>
                <w:sz w:val="24"/>
              </w:rPr>
              <w:t>1</w:t>
            </w: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投标报价</w:t>
            </w:r>
          </w:p>
        </w:tc>
        <w:tc>
          <w:tcPr>
            <w:tcW w:w="5730" w:type="dxa"/>
            <w:vAlign w:val="center"/>
          </w:tcPr>
          <w:p>
            <w:pPr>
              <w:adjustRightInd w:val="0"/>
              <w:snapToGrid w:val="0"/>
              <w:rPr>
                <w:rFonts w:ascii="宋体" w:hAnsi="宋体" w:cs="宋体"/>
                <w:kern w:val="0"/>
                <w:sz w:val="24"/>
              </w:rPr>
            </w:pPr>
            <w:r>
              <w:rPr>
                <w:rFonts w:ascii="宋体" w:hAnsi="宋体" w:cs="宋体" w:hint="eastAsia"/>
                <w:kern w:val="0"/>
                <w:sz w:val="24"/>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 w:val="24"/>
              </w:rPr>
            </w:pPr>
            <w:r>
              <w:rPr>
                <w:rFonts w:ascii="宋体" w:hAnsi="宋体" w:cs="宋体" w:hint="eastAsia"/>
                <w:kern w:val="0"/>
                <w:sz w:val="24"/>
              </w:rPr>
              <w:t>投标报价得分=(评标基准价／投标报价)×100×权重</w:t>
            </w:r>
          </w:p>
          <w:p>
            <w:pPr>
              <w:widowControl/>
              <w:adjustRightInd w:val="0"/>
              <w:snapToGrid w:val="0"/>
              <w:jc w:val="left"/>
              <w:rPr>
                <w:rFonts w:ascii="宋体" w:hAnsi="宋体" w:cs="宋体"/>
                <w:bCs/>
                <w:sz w:val="24"/>
              </w:rPr>
            </w:pPr>
            <w:r>
              <w:rPr>
                <w:rFonts w:ascii="宋体" w:hAnsi="宋体" w:cs="宋体" w:hint="eastAsia"/>
                <w:bCs/>
                <w:sz w:val="24"/>
              </w:rPr>
              <w:t>备注：</w:t>
            </w:r>
          </w:p>
          <w:p>
            <w:pPr>
              <w:widowControl/>
              <w:adjustRightInd w:val="0"/>
              <w:snapToGrid w:val="0"/>
              <w:jc w:val="left"/>
              <w:rPr>
                <w:rFonts w:ascii="宋体" w:hAnsi="宋体" w:cs="宋体"/>
                <w:sz w:val="24"/>
                <w:highlight w:val="yellow"/>
              </w:rPr>
            </w:pPr>
            <w:r>
              <w:rPr>
                <w:rFonts w:ascii="宋体" w:hAnsi="宋体" w:cs="宋体" w:hint="eastAsia"/>
                <w:bCs/>
                <w:sz w:val="24"/>
              </w:rPr>
              <w:t>1、因落实政府采购政策进行价格调整的，以调整后的价格计算评标基准价和投标报价</w:t>
            </w:r>
            <w:r>
              <w:rPr>
                <w:rFonts w:ascii="宋体" w:hAnsi="宋体" w:cs="宋体" w:hint="eastAsia"/>
                <w:sz w:val="24"/>
              </w:rPr>
              <w:t>,详见《价格扣除》。</w:t>
            </w:r>
          </w:p>
          <w:p>
            <w:pPr>
              <w:adjustRightInd w:val="0"/>
              <w:snapToGrid w:val="0"/>
              <w:rPr>
                <w:rFonts w:ascii="宋体" w:hAnsi="宋体" w:cs="宋体"/>
                <w:b/>
                <w:bCs/>
                <w:sz w:val="24"/>
                <w:u w:val="double"/>
              </w:rPr>
            </w:pPr>
            <w:r>
              <w:rPr>
                <w:rFonts w:ascii="宋体" w:hAnsi="宋体" w:cs="宋体" w:hint="eastAsia"/>
                <w:bCs/>
                <w:sz w:val="24"/>
              </w:rPr>
              <w:t>2、投标报价得分四舍五入后，</w:t>
            </w:r>
            <w:r>
              <w:rPr>
                <w:rFonts w:ascii="宋体" w:hAnsi="宋体" w:cs="宋体" w:hint="eastAsia"/>
                <w:sz w:val="24"/>
              </w:rPr>
              <w:t>小数点后保留两位有效数。</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adjustRightInd w:val="0"/>
              <w:snapToGrid w:val="0"/>
              <w:ind w:left="-78" w:leftChars="-37"/>
              <w:jc w:val="center"/>
              <w:rPr>
                <w:rFonts w:ascii="宋体" w:hAnsi="宋体" w:cs="宋体"/>
                <w:sz w:val="24"/>
              </w:rPr>
            </w:pPr>
            <w:r>
              <w:rPr>
                <w:rFonts w:ascii="宋体" w:hAnsi="宋体" w:cs="宋体" w:hint="eastAsia"/>
                <w:sz w:val="24"/>
              </w:rPr>
              <w:t>合计</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100"/>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1"/>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2"/>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12"/>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12"/>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3"/>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12"/>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4"/>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11"/>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15"/>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5"/>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15"/>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8"/>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7"/>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7"/>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102" w:name="_Toc9470"/>
      <w:bookmarkStart w:id="103" w:name="_Toc256000010"/>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103"/>
      <w:bookmarkEnd w:id="93"/>
      <w:bookmarkEnd w:id="102"/>
    </w:p>
    <w:p>
      <w:pPr>
        <w:adjustRightInd w:val="0"/>
        <w:snapToGrid w:val="0"/>
        <w:spacing w:before="156" w:beforeLines="50" w:after="156" w:afterLines="50" w:line="360" w:lineRule="auto"/>
        <w:ind w:left="420"/>
        <w:jc w:val="center"/>
        <w:outlineLvl w:val="1"/>
        <w:rPr>
          <w:b/>
          <w:bCs/>
          <w:sz w:val="28"/>
          <w:szCs w:val="28"/>
        </w:rPr>
      </w:pPr>
      <w:bookmarkStart w:id="104" w:name="_Toc10296"/>
      <w:bookmarkStart w:id="105" w:name="_Toc19582"/>
      <w:bookmarkStart w:id="106" w:name="_Toc256000011"/>
      <w:r>
        <w:rPr>
          <w:rFonts w:hint="eastAsia"/>
          <w:b/>
          <w:bCs/>
          <w:sz w:val="28"/>
          <w:szCs w:val="28"/>
        </w:rPr>
        <w:t>第一部分 投标人须知前附表</w:t>
      </w:r>
      <w:bookmarkEnd w:id="106"/>
      <w:bookmarkEnd w:id="104"/>
      <w:bookmarkEnd w:id="105"/>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hint="eastAsia"/>
              </w:rPr>
              <w:fldChar w:fldCharType="begin"/>
            </w:r>
            <w:r>
              <w:rPr>
                <w:lang w:eastAsia="zh-TW"/>
              </w:rPr>
              <w:instrText xml:space="preserve"> HYPERLINK "http://zfcg.szggzy.com/TPBidder/DownLoad/深圳市智慧采购平台投标文件制作专用软件.zip】。" </w:instrText>
            </w:r>
            <w:r>
              <w:rPr>
                <w:rFonts w:hint="eastAsia"/>
              </w:rP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03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605"/>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投标文件报价修正原则</w:t>
            </w:r>
          </w:p>
        </w:tc>
        <w:tc>
          <w:tcPr>
            <w:tcW w:w="6546"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color w:val="auto"/>
                <w:sz w:val="24"/>
                <w:highlight w:val="none"/>
              </w:rPr>
            </w:pPr>
            <w:r>
              <w:rPr>
                <w:rFonts w:asciiTheme="minorEastAsia" w:eastAsiaTheme="minorEastAsia" w:hAnsiTheme="minorEastAsia" w:hint="eastAsia"/>
                <w:bCs/>
                <w:color w:val="auto"/>
                <w:sz w:val="24"/>
                <w:highlight w:val="none"/>
              </w:rPr>
              <w:t>推荐中标候选人</w:t>
            </w:r>
          </w:p>
        </w:tc>
        <w:tc>
          <w:tcPr>
            <w:tcW w:w="6546" w:type="dxa"/>
            <w:vAlign w:val="center"/>
          </w:tcPr>
          <w:p>
            <w:pPr>
              <w:spacing w:line="360" w:lineRule="auto"/>
              <w:jc w:val="left"/>
              <w:rPr>
                <w:rFonts w:asciiTheme="minorEastAsia" w:eastAsiaTheme="minorEastAsia" w:hAnsiTheme="minorEastAsia"/>
                <w:bCs/>
                <w:color w:val="auto"/>
                <w:sz w:val="24"/>
                <w:highlight w:val="none"/>
                <w:u w:val="single"/>
              </w:rPr>
            </w:pPr>
            <w:r>
              <w:rPr>
                <w:rFonts w:asciiTheme="minorEastAsia" w:eastAsiaTheme="minorEastAsia" w:hAnsiTheme="minorEastAsia" w:hint="eastAsia"/>
                <w:bCs/>
                <w:color w:val="auto"/>
                <w:sz w:val="24"/>
                <w:highlight w:val="none"/>
              </w:rPr>
              <w:t>推荐方式：</w:t>
            </w:r>
            <w:r>
              <w:rPr>
                <w:rFonts w:ascii="宋体" w:hAnsi="宋体" w:cs="宋体" w:hint="eastAsia"/>
                <w:color w:val="auto"/>
                <w:sz w:val="24"/>
                <w:highlight w:val="none"/>
              </w:rPr>
              <w:t>方式一</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方式一：</w:t>
            </w:r>
            <w:r>
              <w:rPr>
                <w:rFonts w:asciiTheme="minorEastAsia" w:eastAsiaTheme="minorEastAsia" w:hAnsiTheme="minorEastAsia" w:hint="eastAsia"/>
                <w:bCs/>
                <w:color w:val="auto"/>
                <w:sz w:val="24"/>
                <w:highlight w:val="none"/>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方式二：</w:t>
            </w:r>
            <w:r>
              <w:rPr>
                <w:rFonts w:asciiTheme="minorEastAsia" w:eastAsiaTheme="minorEastAsia" w:hAnsiTheme="minorEastAsia" w:hint="eastAsia"/>
                <w:bCs/>
                <w:color w:val="auto"/>
                <w:sz w:val="24"/>
                <w:highlight w:val="none"/>
              </w:rPr>
              <w:t>最低评标价法：按照投标报价由低到高的顺序推荐3名中标候选人</w:t>
            </w:r>
          </w:p>
          <w:p>
            <w:pPr>
              <w:jc w:val="left"/>
              <w:rPr>
                <w:rFonts w:asciiTheme="minorEastAsia" w:eastAsiaTheme="minorEastAsia" w:hAnsiTheme="minorEastAsia"/>
                <w:bCs/>
                <w:color w:val="auto"/>
                <w:sz w:val="24"/>
                <w:highlight w:val="none"/>
              </w:rPr>
            </w:pPr>
            <w:r>
              <w:rPr>
                <w:rFonts w:asciiTheme="minorEastAsia" w:eastAsiaTheme="minorEastAsia" w:hAnsiTheme="minorEastAsia" w:hint="eastAsia"/>
                <w:bCs/>
                <w:color w:val="auto"/>
                <w:sz w:val="24"/>
                <w:highlight w:val="none"/>
              </w:rPr>
              <w:t>方式三：</w:t>
            </w:r>
            <w:r>
              <w:rPr>
                <w:rFonts w:asciiTheme="minorEastAsia" w:eastAsiaTheme="minorEastAsia" w:hAnsiTheme="minorEastAsia" w:hint="eastAsia"/>
                <w:color w:val="auto"/>
                <w:sz w:val="24"/>
                <w:highlight w:val="none"/>
              </w:rPr>
              <w:t>评定分离项目，</w:t>
            </w:r>
            <w:r>
              <w:rPr>
                <w:rFonts w:asciiTheme="minorEastAsia" w:eastAsiaTheme="minorEastAsia" w:hAnsiTheme="minorEastAsia" w:hint="eastAsia"/>
                <w:bCs/>
                <w:color w:val="auto"/>
                <w:sz w:val="24"/>
                <w:highlight w:val="none"/>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w:t>
            </w:r>
            <w:r>
              <w:rPr>
                <w:rFonts w:asciiTheme="minorEastAsia" w:eastAsiaTheme="minorEastAsia" w:hAnsiTheme="minorEastAsia" w:hint="eastAsia"/>
                <w:bCs/>
                <w:sz w:val="24"/>
              </w:rPr>
              <w:t>采购人采</w:t>
            </w:r>
            <w:r>
              <w:rPr>
                <w:rFonts w:asciiTheme="minorEastAsia" w:eastAsiaTheme="minorEastAsia" w:hAnsiTheme="minorEastAsia" w:hint="eastAsia"/>
                <w:sz w:val="24"/>
              </w:rPr>
              <w:t>取下述方式二确定</w:t>
            </w:r>
            <w:r>
              <w:rPr>
                <w:rFonts w:asciiTheme="minorEastAsia" w:eastAsiaTheme="minorEastAsia" w:hAnsiTheme="minorEastAsia" w:hint="eastAsia"/>
                <w:bCs/>
                <w:sz w:val="24"/>
              </w:rPr>
              <w:t>中标</w:t>
            </w:r>
            <w:r>
              <w:rPr>
                <w:rFonts w:asciiTheme="minorEastAsia" w:eastAsiaTheme="minorEastAsia" w:hAnsiTheme="minorEastAsia" w:hint="eastAsia"/>
                <w:sz w:val="24"/>
              </w:rPr>
              <w:t>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及“计价格[2002]1980号文”的规定（下浮20%）向中标人收取服务费，不足5000的按照5000收取。</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5"/>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6"/>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107" w:name="_Toc30400"/>
      <w:bookmarkStart w:id="108" w:name="_Toc913"/>
      <w:bookmarkStart w:id="109" w:name="_Toc256000012"/>
      <w:r>
        <w:rPr>
          <w:rFonts w:hint="eastAsia"/>
          <w:b/>
          <w:bCs/>
          <w:sz w:val="28"/>
          <w:szCs w:val="28"/>
        </w:rPr>
        <w:t>第二部分 投标人须知通用条款</w:t>
      </w:r>
      <w:bookmarkEnd w:id="109"/>
      <w:bookmarkEnd w:id="107"/>
      <w:bookmarkEnd w:id="108"/>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10" w:name="_Toc435516650"/>
      <w:bookmarkStart w:id="111" w:name="_Toc435174933"/>
      <w:bookmarkStart w:id="112" w:name="_Toc438223136"/>
      <w:bookmarkStart w:id="113" w:name="_Toc3599"/>
      <w:bookmarkStart w:id="114" w:name="_Toc1802"/>
      <w:bookmarkStart w:id="115" w:name="_Toc256000013"/>
      <w:r>
        <w:rPr>
          <w:rFonts w:ascii="宋体" w:hAnsi="宋体" w:hint="eastAsia"/>
          <w:b/>
          <w:sz w:val="28"/>
          <w:szCs w:val="28"/>
        </w:rPr>
        <w:t>总</w:t>
      </w:r>
      <w:r>
        <w:rPr>
          <w:rFonts w:ascii="宋体" w:hAnsi="宋体"/>
          <w:b/>
          <w:sz w:val="28"/>
          <w:szCs w:val="28"/>
          <w:lang w:eastAsia="zh-TW"/>
        </w:rPr>
        <w:t xml:space="preserve"> </w:t>
      </w:r>
      <w:bookmarkEnd w:id="110"/>
      <w:bookmarkEnd w:id="111"/>
      <w:bookmarkEnd w:id="112"/>
      <w:bookmarkStart w:id="116" w:name="_Toc292267791"/>
      <w:r>
        <w:rPr>
          <w:rFonts w:ascii="宋体" w:hAnsi="宋体" w:hint="eastAsia"/>
          <w:b/>
          <w:sz w:val="28"/>
          <w:szCs w:val="28"/>
        </w:rPr>
        <w:t>则</w:t>
      </w:r>
      <w:bookmarkEnd w:id="115"/>
      <w:bookmarkEnd w:id="113"/>
      <w:bookmarkEnd w:id="114"/>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6"/>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117"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7"/>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118"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19" w:name="_Hlk21591509"/>
      <w:r>
        <w:rPr>
          <w:rFonts w:asciiTheme="minorEastAsia" w:eastAsiaTheme="minorEastAsia" w:hAnsiTheme="minorEastAsia" w:hint="eastAsia"/>
          <w:sz w:val="24"/>
        </w:rPr>
        <w:t>供应商限制参与政府采购</w:t>
      </w:r>
      <w:bookmarkEnd w:id="119"/>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20"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20"/>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118"/>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1" w:name="_Toc435516651"/>
      <w:bookmarkStart w:id="122" w:name="_Toc25270"/>
      <w:bookmarkStart w:id="123" w:name="_Toc30244"/>
      <w:bookmarkStart w:id="124" w:name="_Toc438223137"/>
      <w:bookmarkStart w:id="125" w:name="_Toc435174934"/>
      <w:bookmarkStart w:id="126" w:name="_Toc256000014"/>
      <w:r>
        <w:rPr>
          <w:rFonts w:ascii="宋体" w:hAnsi="宋体" w:hint="eastAsia"/>
          <w:b/>
          <w:sz w:val="28"/>
          <w:szCs w:val="28"/>
          <w:lang w:eastAsia="zh-TW"/>
        </w:rPr>
        <w:t>招标文件</w:t>
      </w:r>
      <w:bookmarkEnd w:id="126"/>
      <w:bookmarkEnd w:id="121"/>
      <w:bookmarkEnd w:id="122"/>
      <w:bookmarkEnd w:id="123"/>
      <w:bookmarkEnd w:id="124"/>
      <w:bookmarkEnd w:id="125"/>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7" w:name="_Toc9002"/>
      <w:bookmarkStart w:id="128" w:name="_Toc438223138"/>
      <w:bookmarkStart w:id="129" w:name="_Toc435516652"/>
      <w:bookmarkStart w:id="130" w:name="_Toc435174935"/>
      <w:bookmarkStart w:id="131" w:name="_Toc27017"/>
      <w:bookmarkStart w:id="132" w:name="_Toc256000015"/>
      <w:r>
        <w:rPr>
          <w:rFonts w:ascii="宋体" w:hAnsi="宋体" w:hint="eastAsia"/>
          <w:b/>
          <w:sz w:val="28"/>
          <w:szCs w:val="28"/>
          <w:lang w:eastAsia="zh-TW"/>
        </w:rPr>
        <w:t>投标文件的编制</w:t>
      </w:r>
      <w:bookmarkEnd w:id="132"/>
      <w:bookmarkEnd w:id="127"/>
      <w:bookmarkEnd w:id="128"/>
      <w:bookmarkEnd w:id="129"/>
      <w:bookmarkEnd w:id="130"/>
      <w:bookmarkEnd w:id="131"/>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0"/>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3" w:name="_Toc2369"/>
      <w:bookmarkStart w:id="134" w:name="_Toc14456"/>
      <w:bookmarkStart w:id="135" w:name="_Toc256000016"/>
      <w:r>
        <w:rPr>
          <w:rFonts w:ascii="宋体" w:hAnsi="宋体" w:hint="eastAsia"/>
          <w:b/>
          <w:sz w:val="28"/>
          <w:szCs w:val="28"/>
          <w:lang w:eastAsia="zh-TW"/>
        </w:rPr>
        <w:t>投标文件的递交</w:t>
      </w:r>
      <w:bookmarkEnd w:id="135"/>
      <w:bookmarkEnd w:id="133"/>
      <w:bookmarkEnd w:id="134"/>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6" w:name="_Toc32477"/>
      <w:bookmarkStart w:id="137" w:name="_Toc18545"/>
      <w:bookmarkStart w:id="138" w:name="_Toc256000017"/>
      <w:r>
        <w:rPr>
          <w:rFonts w:ascii="宋体" w:hAnsi="宋体" w:hint="eastAsia"/>
          <w:b/>
          <w:sz w:val="28"/>
          <w:szCs w:val="28"/>
          <w:lang w:eastAsia="zh-TW"/>
        </w:rPr>
        <w:t>开标、评标、定标与合同签订</w:t>
      </w:r>
      <w:bookmarkEnd w:id="138"/>
      <w:bookmarkEnd w:id="136"/>
      <w:bookmarkEnd w:id="137"/>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39"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40"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40"/>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39"/>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41" w:name="_Toc16132"/>
      <w:bookmarkStart w:id="142" w:name="_Toc18030"/>
      <w:bookmarkStart w:id="143" w:name="_Toc256000018"/>
      <w:r>
        <w:rPr>
          <w:rFonts w:ascii="宋体" w:hAnsi="宋体" w:hint="eastAsia"/>
          <w:b/>
          <w:sz w:val="28"/>
          <w:szCs w:val="28"/>
          <w:lang w:eastAsia="zh-TW"/>
        </w:rPr>
        <w:t>询问、质疑与投诉</w:t>
      </w:r>
      <w:bookmarkEnd w:id="143"/>
      <w:bookmarkEnd w:id="141"/>
      <w:bookmarkEnd w:id="142"/>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44" w:name="_Hlk30667144"/>
      <w:r>
        <w:rPr>
          <w:rFonts w:ascii="宋体" w:hAnsi="宋体" w:cs="黑体" w:hint="eastAsia"/>
          <w:bCs/>
          <w:sz w:val="24"/>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44"/>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功能材料与器件-聚焦离子束电子束双束显微镜</w:t>
      </w:r>
      <w:r>
        <w:rPr>
          <w:rFonts w:ascii="宋体" w:hAnsi="宋体" w:hint="eastAsia"/>
          <w:sz w:val="24"/>
        </w:rPr>
        <w:t>（项目采购编号：</w:t>
      </w:r>
      <w:r>
        <w:rPr>
          <w:rFonts w:ascii="宋体" w:hAnsi="宋体" w:hint="eastAsia"/>
          <w:sz w:val="24"/>
          <w:lang w:eastAsia="zh-CN"/>
        </w:rPr>
        <w:t>SZDL2023001819(CLF0123SZ15ZC13)</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45" w:name="_Toc22121"/>
      <w:bookmarkStart w:id="146" w:name="_Toc4448"/>
      <w:bookmarkStart w:id="147" w:name="_Toc256000019"/>
      <w:r>
        <w:rPr>
          <w:rFonts w:hint="eastAsia"/>
          <w:b/>
          <w:bCs/>
          <w:sz w:val="28"/>
          <w:szCs w:val="28"/>
        </w:rPr>
        <w:t>第五章</w:t>
      </w:r>
      <w:bookmarkEnd w:id="94"/>
      <w:bookmarkStart w:id="148" w:name="_Toc435109307"/>
      <w:r>
        <w:rPr>
          <w:rFonts w:hint="eastAsia"/>
          <w:b/>
          <w:bCs/>
          <w:sz w:val="28"/>
          <w:szCs w:val="28"/>
        </w:rPr>
        <w:t xml:space="preserve"> 合同格式条款（仅供参考，具体以合同签订时间为准）</w:t>
      </w:r>
      <w:bookmarkEnd w:id="147"/>
      <w:bookmarkEnd w:id="95"/>
      <w:bookmarkEnd w:id="145"/>
      <w:bookmarkEnd w:id="146"/>
    </w:p>
    <w:p>
      <w:pPr>
        <w:tabs>
          <w:tab w:val="left" w:pos="720"/>
        </w:tabs>
        <w:spacing w:line="360" w:lineRule="auto"/>
        <w:jc w:val="center"/>
        <w:rPr>
          <w:rFonts w:ascii="宋体" w:hAnsi="宋体" w:cs="宋体"/>
          <w:b/>
          <w:sz w:val="24"/>
          <w:szCs w:val="21"/>
        </w:rPr>
      </w:pPr>
      <w:bookmarkEnd w:id="96"/>
      <w:bookmarkEnd w:id="97"/>
      <w:bookmarkEnd w:id="148"/>
      <w:bookmarkStart w:id="149" w:name="_Toc435514851"/>
      <w:bookmarkStart w:id="150" w:name="_Toc435115056"/>
      <w:bookmarkStart w:id="151" w:name="_Toc13067024"/>
      <w:r>
        <w:rPr>
          <w:rFonts w:ascii="宋体" w:hAnsi="宋体" w:cs="宋体" w:hint="eastAsia"/>
          <w:b/>
          <w:sz w:val="24"/>
          <w:szCs w:val="21"/>
        </w:rPr>
        <w:t>合同通用条款</w:t>
      </w:r>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hint="eastAsia"/>
          <w:sz w:val="24"/>
        </w:rPr>
        <w:t>（项目编号）</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w:t>
      </w:r>
      <w:r>
        <w:rPr>
          <w:rFonts w:asciiTheme="minorEastAsia" w:eastAsiaTheme="minorEastAsia" w:hAnsiTheme="minorEastAsia" w:cs="宋体" w:hint="eastAsia"/>
          <w:color w:val="FF0000"/>
          <w:sz w:val="24"/>
          <w:szCs w:val="22"/>
        </w:rPr>
        <w:t>7个日历日内</w:t>
      </w:r>
      <w:r>
        <w:rPr>
          <w:rFonts w:asciiTheme="minorEastAsia" w:eastAsiaTheme="minorEastAsia" w:hAnsiTheme="minorEastAsia" w:cs="宋体" w:hint="eastAsia"/>
          <w:sz w:val="24"/>
          <w:szCs w:val="22"/>
        </w:rPr>
        <w:t>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textAlignment w:val="baseline"/>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szCs w:val="22"/>
          <w14:textFill>
            <w14:solidFill>
              <w14:schemeClr w14:val="tx1"/>
            </w14:solidFill>
          </w14:textFill>
        </w:rPr>
        <w:t>本合同为中小企业预留合同。</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widowControl/>
        <w:jc w:val="left"/>
        <w:rPr>
          <w:rFonts w:ascii="宋体" w:hAnsi="宋体"/>
          <w:b/>
          <w:color w:val="FF0000"/>
        </w:rPr>
      </w:pPr>
      <w:r>
        <w:rPr>
          <w:rFonts w:ascii="宋体" w:hAnsi="宋体"/>
          <w:b/>
          <w:color w:val="FF0000"/>
        </w:rPr>
        <w:br w:type="page"/>
      </w:r>
    </w:p>
    <w:p>
      <w:pPr>
        <w:spacing w:before="156" w:beforeLines="50" w:after="156" w:afterLines="50" w:line="360" w:lineRule="auto"/>
        <w:jc w:val="center"/>
        <w:outlineLvl w:val="0"/>
        <w:rPr>
          <w:b/>
          <w:bCs/>
          <w:sz w:val="32"/>
          <w:szCs w:val="32"/>
        </w:rPr>
      </w:pPr>
      <w:bookmarkStart w:id="152" w:name="_Toc18172"/>
      <w:bookmarkStart w:id="153" w:name="_Toc256000020"/>
      <w:r>
        <w:rPr>
          <w:rFonts w:hint="eastAsia"/>
          <w:b/>
          <w:bCs/>
          <w:sz w:val="32"/>
          <w:szCs w:val="32"/>
        </w:rPr>
        <w:t>第六章 投标文件格式</w:t>
      </w:r>
      <w:bookmarkEnd w:id="153"/>
      <w:bookmarkEnd w:id="149"/>
      <w:bookmarkEnd w:id="150"/>
      <w:bookmarkEnd w:id="151"/>
      <w:bookmarkEnd w:id="152"/>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5"/>
        </w:numPr>
        <w:spacing w:line="240" w:lineRule="auto"/>
        <w:jc w:val="center"/>
      </w:pPr>
      <w:bookmarkStart w:id="154" w:name="_Toc8947"/>
      <w:bookmarkStart w:id="155" w:name="_Toc435515292"/>
      <w:bookmarkStart w:id="156" w:name="_Toc30664868"/>
      <w:bookmarkStart w:id="157" w:name="_Toc6736"/>
      <w:bookmarkStart w:id="158" w:name="_Toc435514852"/>
      <w:bookmarkStart w:id="159" w:name="_Toc9301"/>
      <w:bookmarkStart w:id="160" w:name="_Toc256000021"/>
      <w:r>
        <w:rPr>
          <w:rFonts w:hint="eastAsia"/>
        </w:rPr>
        <w:t>投标文件封面参考</w:t>
      </w:r>
      <w:bookmarkEnd w:id="160"/>
      <w:bookmarkEnd w:id="154"/>
      <w:bookmarkEnd w:id="155"/>
      <w:bookmarkEnd w:id="156"/>
      <w:bookmarkEnd w:id="157"/>
      <w:bookmarkEnd w:id="158"/>
      <w:bookmarkEnd w:id="159"/>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SZDL2023001819(CLF0123SZ15ZC13)</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项目名称：功能材料与器件-聚焦离子束电子束双束显微镜</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5"/>
        </w:numPr>
        <w:spacing w:line="240" w:lineRule="auto"/>
        <w:jc w:val="center"/>
        <w:rPr>
          <w:b w:val="0"/>
        </w:rPr>
      </w:pPr>
      <w:bookmarkStart w:id="161" w:name="_Toc30664869"/>
      <w:bookmarkStart w:id="162" w:name="_Toc12713"/>
      <w:bookmarkStart w:id="163" w:name="_Toc27350"/>
      <w:bookmarkStart w:id="164" w:name="_Toc31717"/>
      <w:bookmarkStart w:id="165" w:name="_Toc435514865"/>
      <w:bookmarkStart w:id="166" w:name="_Toc435515305"/>
      <w:bookmarkStart w:id="167" w:name="_Toc256000022"/>
      <w:r>
        <w:rPr>
          <w:rFonts w:hint="eastAsia"/>
          <w:b w:val="0"/>
        </w:rPr>
        <w:t>营业执照等资质证明文件</w:t>
      </w:r>
      <w:bookmarkEnd w:id="167"/>
      <w:bookmarkEnd w:id="161"/>
      <w:bookmarkEnd w:id="162"/>
      <w:bookmarkEnd w:id="163"/>
      <w:bookmarkEnd w:id="164"/>
    </w:p>
    <w:p>
      <w:bookmarkStart w:id="168" w:name="_Toc6452"/>
      <w:bookmarkStart w:id="169" w:name="_Toc30664870"/>
      <w:r>
        <w:rPr>
          <w:rFonts w:hint="eastAsia"/>
        </w:rPr>
        <w:br w:type="page"/>
      </w:r>
    </w:p>
    <w:p>
      <w:pPr>
        <w:pStyle w:val="Heading2"/>
        <w:numPr>
          <w:ilvl w:val="0"/>
          <w:numId w:val="65"/>
        </w:numPr>
        <w:spacing w:line="240" w:lineRule="auto"/>
        <w:jc w:val="center"/>
        <w:rPr>
          <w:b w:val="0"/>
        </w:rPr>
      </w:pPr>
      <w:bookmarkEnd w:id="165"/>
      <w:bookmarkEnd w:id="166"/>
      <w:bookmarkEnd w:id="168"/>
      <w:bookmarkEnd w:id="169"/>
      <w:bookmarkStart w:id="170" w:name="_Toc192662843"/>
      <w:bookmarkStart w:id="171" w:name="_Toc435515306"/>
      <w:bookmarkStart w:id="172" w:name="_Toc30664871"/>
      <w:bookmarkStart w:id="173" w:name="_Toc14521"/>
      <w:bookmarkStart w:id="174" w:name="_Toc435514866"/>
      <w:bookmarkStart w:id="175" w:name="_Toc275865611"/>
      <w:bookmarkStart w:id="176" w:name="_Toc8625"/>
      <w:bookmarkStart w:id="177" w:name="_Toc708"/>
      <w:bookmarkStart w:id="178" w:name="_Toc30664872"/>
      <w:bookmarkStart w:id="179" w:name="_Toc5066"/>
      <w:bookmarkStart w:id="180" w:name="_Toc435514854"/>
      <w:bookmarkStart w:id="181" w:name="_Toc435515294"/>
      <w:bookmarkStart w:id="182" w:name="_Toc275865605"/>
      <w:bookmarkStart w:id="183" w:name="_Toc256000023"/>
      <w:r>
        <w:rPr>
          <w:rFonts w:hint="eastAsia"/>
          <w:b w:val="0"/>
        </w:rPr>
        <w:t>投标分项报价表</w:t>
      </w:r>
      <w:bookmarkEnd w:id="183"/>
      <w:bookmarkEnd w:id="170"/>
      <w:bookmarkEnd w:id="171"/>
      <w:bookmarkEnd w:id="172"/>
      <w:bookmarkEnd w:id="173"/>
      <w:bookmarkEnd w:id="174"/>
      <w:bookmarkEnd w:id="175"/>
      <w:bookmarkEnd w:id="176"/>
      <w:bookmarkEnd w:id="177"/>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SZDL2023001819(CLF0123SZ15ZC13)</w:t>
      </w:r>
      <w:r>
        <w:rPr>
          <w:rFonts w:ascii="ˎ̥" w:hAnsi="ˎ̥" w:cs="宋体"/>
          <w:kern w:val="0"/>
          <w:sz w:val="24"/>
        </w:rPr>
        <w:t> </w:t>
      </w:r>
    </w:p>
    <w:tbl>
      <w:tblPr>
        <w:tblStyle w:val="TableNorm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695"/>
        <w:gridCol w:w="1685"/>
        <w:gridCol w:w="861"/>
        <w:gridCol w:w="965"/>
        <w:gridCol w:w="1617"/>
        <w:gridCol w:w="1780"/>
        <w:gridCol w:w="679"/>
        <w:gridCol w:w="658"/>
        <w:gridCol w:w="456"/>
      </w:tblGrid>
      <w:tr>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trHeight w:val="756"/>
          <w:jc w:val="center"/>
        </w:trPr>
        <w:tc>
          <w:tcPr>
            <w:tcW w:w="0" w:type="auto"/>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68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86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96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61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78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tc>
        <w:tc>
          <w:tcPr>
            <w:tcW w:w="679"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58"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0" w:type="auto"/>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0" w:type="auto"/>
          <w:jc w:val="center"/>
          <w:tblCellMar>
            <w:top w:w="0" w:type="dxa"/>
            <w:left w:w="108" w:type="dxa"/>
            <w:bottom w:w="0" w:type="dxa"/>
            <w:right w:w="108" w:type="dxa"/>
          </w:tblCellMar>
        </w:tblPrEx>
        <w:trPr>
          <w:trHeight w:val="560"/>
          <w:jc w:val="center"/>
        </w:trPr>
        <w:tc>
          <w:tcPr>
            <w:tcW w:w="695" w:type="dxa"/>
            <w:vAlign w:val="center"/>
          </w:tcPr>
          <w:p>
            <w:pPr>
              <w:jc w:val="center"/>
              <w:rPr>
                <w:rFonts w:ascii="宋体" w:hAnsi="宋体"/>
                <w:sz w:val="24"/>
              </w:rPr>
            </w:pPr>
            <w:r>
              <w:rPr>
                <w:rFonts w:ascii="宋体" w:hAnsi="宋体" w:cs="宋体" w:hint="eastAsia"/>
                <w:sz w:val="24"/>
              </w:rPr>
              <w:t>1</w:t>
            </w:r>
          </w:p>
        </w:tc>
        <w:tc>
          <w:tcPr>
            <w:tcW w:w="1685" w:type="dxa"/>
            <w:vAlign w:val="center"/>
          </w:tcPr>
          <w:p>
            <w:pPr>
              <w:snapToGrid w:val="0"/>
              <w:jc w:val="center"/>
              <w:rPr>
                <w:sz w:val="24"/>
              </w:rPr>
            </w:pPr>
            <w:r>
              <w:rPr>
                <w:rFonts w:hint="eastAsia"/>
                <w:sz w:val="24"/>
              </w:rPr>
              <w:t>聚焦离子束电子束双束显微镜</w:t>
            </w:r>
          </w:p>
        </w:tc>
        <w:tc>
          <w:tcPr>
            <w:tcW w:w="861" w:type="dxa"/>
            <w:vAlign w:val="center"/>
          </w:tcPr>
          <w:p>
            <w:pPr>
              <w:jc w:val="center"/>
              <w:rPr>
                <w:sz w:val="24"/>
              </w:rPr>
            </w:pPr>
          </w:p>
        </w:tc>
        <w:tc>
          <w:tcPr>
            <w:tcW w:w="965" w:type="dxa"/>
            <w:vAlign w:val="center"/>
          </w:tcPr>
          <w:p>
            <w:pPr>
              <w:jc w:val="center"/>
              <w:rPr>
                <w:sz w:val="24"/>
              </w:rPr>
            </w:pPr>
          </w:p>
        </w:tc>
        <w:tc>
          <w:tcPr>
            <w:tcW w:w="1617" w:type="dxa"/>
            <w:vAlign w:val="center"/>
          </w:tcPr>
          <w:p>
            <w:pPr>
              <w:jc w:val="center"/>
              <w:rPr>
                <w:sz w:val="24"/>
              </w:rPr>
            </w:pPr>
          </w:p>
        </w:tc>
        <w:tc>
          <w:tcPr>
            <w:tcW w:w="1780" w:type="dxa"/>
            <w:vAlign w:val="center"/>
          </w:tcPr>
          <w:p>
            <w:pPr>
              <w:jc w:val="center"/>
              <w:rPr>
                <w:sz w:val="24"/>
              </w:rPr>
            </w:pPr>
          </w:p>
        </w:tc>
        <w:tc>
          <w:tcPr>
            <w:tcW w:w="679" w:type="dxa"/>
            <w:vAlign w:val="center"/>
          </w:tcPr>
          <w:p>
            <w:pPr>
              <w:jc w:val="center"/>
              <w:rPr>
                <w:sz w:val="24"/>
              </w:rPr>
            </w:pPr>
            <w:r>
              <w:rPr>
                <w:rFonts w:ascii="宋体" w:hAnsi="宋体" w:cs="宋体" w:hint="eastAsia"/>
                <w:color w:val="000000"/>
                <w:sz w:val="24"/>
              </w:rPr>
              <w:t>套</w:t>
            </w:r>
          </w:p>
        </w:tc>
        <w:tc>
          <w:tcPr>
            <w:tcW w:w="658" w:type="dxa"/>
            <w:vAlign w:val="center"/>
          </w:tcPr>
          <w:p>
            <w:pPr>
              <w:jc w:val="center"/>
              <w:rPr>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总计</w:t>
            </w:r>
          </w:p>
        </w:tc>
        <w:tc>
          <w:tcPr>
            <w:tcW w:w="0" w:type="auto"/>
            <w:gridSpan w:val="8"/>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66"/>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84" w:name="_Toc435514875"/>
      <w:bookmarkStart w:id="185" w:name="_Toc435515315"/>
      <w:r>
        <w:rPr>
          <w:rFonts w:hint="eastAsia"/>
          <w:sz w:val="24"/>
        </w:rPr>
        <w:br w:type="page"/>
      </w:r>
    </w:p>
    <w:p>
      <w:pPr>
        <w:pStyle w:val="Heading2"/>
        <w:numPr>
          <w:ilvl w:val="0"/>
          <w:numId w:val="65"/>
        </w:numPr>
        <w:spacing w:line="240" w:lineRule="auto"/>
        <w:jc w:val="center"/>
        <w:rPr>
          <w:rFonts w:ascii="黑体" w:hAnsi="黑体"/>
        </w:rPr>
      </w:pPr>
      <w:bookmarkEnd w:id="184"/>
      <w:bookmarkEnd w:id="185"/>
      <w:bookmarkStart w:id="186" w:name="_Toc11275"/>
      <w:bookmarkStart w:id="187" w:name="_Toc22037"/>
      <w:bookmarkStart w:id="188" w:name="_Toc256000024"/>
      <w:r>
        <w:rPr>
          <w:rFonts w:ascii="黑体" w:hAnsi="黑体" w:hint="eastAsia"/>
        </w:rPr>
        <w:t>中小企业声明函（如有）</w:t>
      </w:r>
      <w:bookmarkEnd w:id="188"/>
      <w:bookmarkEnd w:id="178"/>
      <w:bookmarkEnd w:id="179"/>
      <w:bookmarkEnd w:id="186"/>
      <w:bookmarkEnd w:id="187"/>
    </w:p>
    <w:p>
      <w:pPr>
        <w:snapToGrid w:val="0"/>
        <w:spacing w:line="360" w:lineRule="auto"/>
        <w:jc w:val="center"/>
        <w:rPr>
          <w:rFonts w:ascii="宋体" w:hAnsi="宋体"/>
          <w:sz w:val="24"/>
        </w:rPr>
      </w:pPr>
      <w:bookmarkStart w:id="189" w:name="_Toc30664873"/>
      <w:bookmarkStart w:id="190" w:name="_Toc269"/>
      <w:bookmarkStart w:id="191" w:name="OLE_LINK14"/>
      <w:bookmarkStart w:id="192" w:name="OLE_LINK13"/>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功能材料与器件-聚焦离子束电子束双束显微镜</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65"/>
        </w:numPr>
        <w:spacing w:line="240" w:lineRule="auto"/>
        <w:jc w:val="center"/>
        <w:rPr>
          <w:rFonts w:ascii="黑体" w:hAnsi="黑体"/>
        </w:rPr>
      </w:pPr>
      <w:bookmarkStart w:id="193" w:name="_Toc26446"/>
      <w:bookmarkStart w:id="194" w:name="_Toc18349"/>
      <w:bookmarkStart w:id="195" w:name="_Toc256000025"/>
      <w:r>
        <w:rPr>
          <w:rFonts w:ascii="黑体" w:hAnsi="黑体" w:hint="eastAsia"/>
        </w:rPr>
        <w:t>残疾人福利性单位声明函（如有）</w:t>
      </w:r>
      <w:bookmarkEnd w:id="195"/>
      <w:bookmarkEnd w:id="189"/>
      <w:bookmarkEnd w:id="190"/>
      <w:bookmarkEnd w:id="193"/>
      <w:bookmarkEnd w:id="194"/>
    </w:p>
    <w:p>
      <w:pPr>
        <w:spacing w:line="360" w:lineRule="auto"/>
        <w:ind w:firstLine="420" w:firstLineChars="200"/>
        <w:rPr>
          <w:rFonts w:ascii="宋体" w:hAnsi="宋体"/>
          <w:sz w:val="24"/>
        </w:rPr>
      </w:pPr>
      <w:bookmarkEnd w:id="191"/>
      <w:bookmarkEnd w:id="192"/>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96" w:name="_Toc30664874"/>
      <w:bookmarkStart w:id="197" w:name="_Toc13545"/>
      <w:bookmarkStart w:id="198" w:name="_Toc31731"/>
      <w:bookmarkStart w:id="199" w:name="_Toc11883"/>
      <w:bookmarkStart w:id="200" w:name="_Toc256000026"/>
      <w:r>
        <w:rPr>
          <w:rFonts w:ascii="黑体" w:hAnsi="黑体" w:hint="eastAsia"/>
        </w:rPr>
        <w:t>监狱企业的证明文件（如有）</w:t>
      </w:r>
      <w:bookmarkEnd w:id="200"/>
      <w:bookmarkEnd w:id="196"/>
      <w:bookmarkEnd w:id="197"/>
      <w:bookmarkEnd w:id="198"/>
      <w:bookmarkEnd w:id="199"/>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201" w:name="_Toc20659"/>
      <w:bookmarkStart w:id="202" w:name="_Toc30664875"/>
      <w:bookmarkStart w:id="203" w:name="_Toc6176"/>
      <w:bookmarkStart w:id="204" w:name="_Toc20531"/>
      <w:bookmarkStart w:id="205" w:name="_Toc256000027"/>
      <w:r>
        <w:rPr>
          <w:rFonts w:ascii="黑体" w:hAnsi="黑体" w:hint="eastAsia"/>
        </w:rPr>
        <w:t>政策功能情况（如有）</w:t>
      </w:r>
      <w:bookmarkEnd w:id="205"/>
      <w:bookmarkEnd w:id="201"/>
      <w:bookmarkEnd w:id="202"/>
      <w:bookmarkEnd w:id="203"/>
      <w:bookmarkEnd w:id="204"/>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项目名称：功能材料与器件-聚焦离子束电子束双束显微镜</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80"/>
      <w:bookmarkEnd w:id="181"/>
      <w:bookmarkEnd w:id="182"/>
      <w:bookmarkStart w:id="206" w:name="_Toc24108"/>
      <w:bookmarkStart w:id="207" w:name="_Toc30664876"/>
      <w:bookmarkStart w:id="208" w:name="_Toc435515295"/>
      <w:bookmarkStart w:id="209" w:name="_Toc275865606"/>
      <w:bookmarkStart w:id="210" w:name="_Toc435514855"/>
      <w:r>
        <w:rPr>
          <w:rFonts w:hint="eastAsia"/>
        </w:rPr>
        <w:br w:type="page"/>
      </w:r>
    </w:p>
    <w:p>
      <w:pPr>
        <w:pStyle w:val="Heading2"/>
        <w:numPr>
          <w:ilvl w:val="0"/>
          <w:numId w:val="65"/>
        </w:numPr>
        <w:spacing w:line="240" w:lineRule="auto"/>
        <w:jc w:val="center"/>
        <w:rPr>
          <w:bCs w:val="0"/>
        </w:rPr>
      </w:pPr>
      <w:bookmarkStart w:id="211" w:name="_Toc8191"/>
      <w:bookmarkStart w:id="212" w:name="_Toc5687"/>
      <w:bookmarkStart w:id="213" w:name="_Toc256000028"/>
      <w:r>
        <w:rPr>
          <w:rFonts w:hint="eastAsia"/>
          <w:bCs w:val="0"/>
        </w:rPr>
        <w:t>投 标 函</w:t>
      </w:r>
      <w:bookmarkEnd w:id="213"/>
      <w:bookmarkEnd w:id="206"/>
      <w:bookmarkEnd w:id="207"/>
      <w:bookmarkEnd w:id="211"/>
      <w:bookmarkEnd w:id="212"/>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功能材料与器件-聚焦离子束电子束双束显微镜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SZDL2023001819(CLF0123SZ15ZC13)</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208"/>
      <w:bookmarkEnd w:id="209"/>
      <w:bookmarkEnd w:id="210"/>
      <w:bookmarkStart w:id="214" w:name="_Toc18164"/>
      <w:bookmarkStart w:id="215" w:name="_Toc11167"/>
      <w:bookmarkStart w:id="216" w:name="_Toc256000029"/>
      <w:r>
        <w:rPr>
          <w:rFonts w:hint="eastAsia"/>
          <w:bCs w:val="0"/>
        </w:rPr>
        <w:t>政府采购投标及履约承诺函</w:t>
      </w:r>
      <w:bookmarkEnd w:id="216"/>
      <w:bookmarkEnd w:id="214"/>
      <w:bookmarkEnd w:id="215"/>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w:t>
      </w:r>
      <w:r>
        <w:rPr>
          <w:rFonts w:ascii="宋体" w:hAnsi="宋体" w:cs="宋体" w:hint="eastAsia"/>
          <w:bCs/>
          <w:sz w:val="24"/>
        </w:rPr>
        <w:t>若所投产品为进口，则投标人在中标后必须提供由设备制造商或其授权的中国总代理签署的合法有效的针对所投标产品对应商品授权书。</w:t>
      </w:r>
    </w:p>
    <w:p>
      <w:pPr>
        <w:pStyle w:val="ListParagraph"/>
        <w:numPr>
          <w:ilvl w:val="3"/>
          <w:numId w:val="69"/>
        </w:numPr>
        <w:ind w:left="709" w:hanging="283" w:firstLineChars="0"/>
        <w:rPr>
          <w:rFonts w:ascii="宋体" w:hAnsi="宋体"/>
          <w:sz w:val="24"/>
        </w:rPr>
      </w:pP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65"/>
        </w:numPr>
        <w:spacing w:line="240" w:lineRule="auto"/>
        <w:jc w:val="center"/>
        <w:rPr>
          <w:bCs w:val="0"/>
        </w:rPr>
      </w:pPr>
      <w:bookmarkStart w:id="217" w:name="_Toc3346"/>
      <w:bookmarkStart w:id="218" w:name="_Toc2147"/>
      <w:bookmarkStart w:id="219" w:name="_Toc256000030"/>
      <w:r>
        <w:rPr>
          <w:rFonts w:hint="eastAsia"/>
          <w:bCs w:val="0"/>
        </w:rPr>
        <w:t>公章对投标专用章授权说明（如有）</w:t>
      </w:r>
      <w:bookmarkEnd w:id="219"/>
      <w:bookmarkEnd w:id="217"/>
      <w:bookmarkEnd w:id="218"/>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功能材料与器件-聚焦离子束电子束双束显微镜（</w:t>
      </w:r>
      <w:r>
        <w:rPr>
          <w:rFonts w:ascii="宋体" w:hAnsi="宋体" w:hint="eastAsia"/>
          <w:sz w:val="24"/>
          <w:u w:val="single"/>
          <w:lang w:eastAsia="zh-CN"/>
        </w:rPr>
        <w:t>SZDL2023001819(CLF0123SZ15ZC13)</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5"/>
        </w:numPr>
        <w:spacing w:line="240" w:lineRule="auto"/>
        <w:jc w:val="center"/>
        <w:rPr>
          <w:bCs w:val="0"/>
        </w:rPr>
      </w:pPr>
      <w:bookmarkStart w:id="220" w:name="_Toc24864"/>
      <w:bookmarkStart w:id="221" w:name="_Toc23850"/>
      <w:bookmarkStart w:id="222" w:name="_Toc256000031"/>
      <w:r>
        <w:rPr>
          <w:rFonts w:hint="eastAsia"/>
          <w:bCs w:val="0"/>
        </w:rPr>
        <w:t>主要股东或出资人信息</w:t>
      </w:r>
      <w:bookmarkEnd w:id="222"/>
      <w:bookmarkEnd w:id="220"/>
      <w:bookmarkEnd w:id="221"/>
    </w:p>
    <w:p>
      <w:pPr>
        <w:tabs>
          <w:tab w:val="left" w:pos="7740"/>
        </w:tabs>
        <w:adjustRightInd w:val="0"/>
        <w:snapToGrid w:val="0"/>
        <w:spacing w:line="360" w:lineRule="auto"/>
        <w:rPr>
          <w:rFonts w:ascii="宋体" w:hAnsi="宋体"/>
          <w:sz w:val="24"/>
        </w:rPr>
      </w:pPr>
      <w:r>
        <w:rPr>
          <w:rFonts w:ascii="宋体" w:hAnsi="宋体" w:hint="eastAsia"/>
          <w:sz w:val="24"/>
        </w:rPr>
        <w:t>项目名称：功能材料与器件-聚焦离子束电子束双束显微镜</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65"/>
        </w:numPr>
        <w:spacing w:line="240" w:lineRule="auto"/>
        <w:jc w:val="center"/>
        <w:rPr>
          <w:b w:val="0"/>
        </w:rPr>
      </w:pPr>
      <w:bookmarkStart w:id="223" w:name="_承诺函"/>
      <w:bookmarkEnd w:id="223"/>
      <w:bookmarkStart w:id="224" w:name="_Toc50703730"/>
      <w:bookmarkStart w:id="225" w:name="_Toc50691037"/>
      <w:bookmarkStart w:id="226" w:name="_Toc43264518"/>
      <w:bookmarkStart w:id="227" w:name="_Toc256000032"/>
      <w:r>
        <w:rPr>
          <w:rFonts w:hint="eastAsia"/>
          <w:b w:val="0"/>
        </w:rPr>
        <w:t>投标人近三年同类业绩（以合同签订时间为准）</w:t>
      </w:r>
      <w:bookmarkEnd w:id="227"/>
    </w:p>
    <w:p>
      <w:pPr>
        <w:spacing w:line="440" w:lineRule="exact"/>
        <w:rPr>
          <w:color w:val="FF0000"/>
        </w:rPr>
      </w:pPr>
      <w:r>
        <w:rPr>
          <w:rFonts w:ascii="宋体" w:hAnsi="宋体" w:hint="eastAsia"/>
          <w:sz w:val="24"/>
        </w:rPr>
        <w:t>格式自拟</w:t>
      </w:r>
      <w:bookmarkEnd w:id="224"/>
      <w:bookmarkEnd w:id="225"/>
      <w:bookmarkStart w:id="228" w:name="_Toc435515313"/>
      <w:bookmarkStart w:id="229" w:name="_Toc435514873"/>
    </w:p>
    <w:p>
      <w:pPr>
        <w:pStyle w:val="ListParagraph"/>
        <w:widowControl/>
        <w:numPr>
          <w:ilvl w:val="3"/>
          <w:numId w:val="71"/>
        </w:numPr>
        <w:ind w:left="567" w:firstLine="0" w:firstLineChars="0"/>
        <w:rPr>
          <w:color w:val="FF0000"/>
          <w:sz w:val="24"/>
        </w:rPr>
      </w:pPr>
      <w:r>
        <w:rPr>
          <w:color w:val="FF0000"/>
        </w:rPr>
        <w:br w:type="page"/>
      </w:r>
    </w:p>
    <w:p>
      <w:pPr>
        <w:pStyle w:val="Heading2"/>
        <w:numPr>
          <w:ilvl w:val="0"/>
          <w:numId w:val="65"/>
        </w:numPr>
        <w:spacing w:line="240" w:lineRule="auto"/>
        <w:jc w:val="center"/>
        <w:rPr>
          <w:b w:val="0"/>
        </w:rPr>
      </w:pPr>
      <w:bookmarkEnd w:id="226"/>
      <w:bookmarkEnd w:id="228"/>
      <w:bookmarkEnd w:id="229"/>
      <w:bookmarkStart w:id="230" w:name="_Toc30271"/>
      <w:bookmarkStart w:id="231" w:name="_Toc16144"/>
      <w:bookmarkStart w:id="232" w:name="_Toc31548"/>
      <w:bookmarkStart w:id="233" w:name="_Toc30664891"/>
      <w:bookmarkStart w:id="234" w:name="_Toc256000033"/>
      <w:r>
        <w:rPr>
          <w:rFonts w:hint="eastAsia"/>
          <w:b w:val="0"/>
        </w:rPr>
        <w:t>开票资料说明函</w:t>
      </w:r>
      <w:bookmarkEnd w:id="234"/>
      <w:bookmarkEnd w:id="230"/>
      <w:bookmarkEnd w:id="231"/>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功能材料与器件-聚焦离子束电子束双束显微镜      </w:t>
      </w:r>
      <w:r>
        <w:rPr>
          <w:rFonts w:ascii="宋体" w:hAnsi="宋体" w:hint="eastAsia"/>
          <w:sz w:val="24"/>
        </w:rPr>
        <w:t>(</w:t>
      </w:r>
      <w:r>
        <w:rPr>
          <w:rFonts w:hint="eastAsia"/>
          <w:sz w:val="24"/>
        </w:rPr>
        <w:t>项目编号：</w:t>
      </w:r>
      <w:r>
        <w:rPr>
          <w:rFonts w:hint="eastAsia"/>
          <w:sz w:val="24"/>
          <w:lang w:eastAsia="zh-CN"/>
        </w:rPr>
        <w:t>SZDL2023001819(CLF0123SZ15ZC13)</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5"/>
        </w:numPr>
        <w:spacing w:line="240" w:lineRule="auto"/>
        <w:jc w:val="center"/>
        <w:rPr>
          <w:b w:val="0"/>
        </w:rPr>
      </w:pPr>
      <w:bookmarkStart w:id="235" w:name="_Toc8494"/>
      <w:bookmarkStart w:id="236" w:name="_Toc26941"/>
      <w:bookmarkStart w:id="237" w:name="_Toc256000034"/>
      <w:r>
        <w:rPr>
          <w:rFonts w:hint="eastAsia"/>
          <w:b w:val="0"/>
        </w:rPr>
        <w:t>采购代理服务费承诺书</w:t>
      </w:r>
      <w:bookmarkEnd w:id="237"/>
      <w:bookmarkEnd w:id="232"/>
      <w:bookmarkEnd w:id="233"/>
      <w:bookmarkEnd w:id="235"/>
      <w:bookmarkEnd w:id="236"/>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功能材料与器件-聚焦离子束电子束双束显微镜      </w:t>
      </w:r>
      <w:r>
        <w:rPr>
          <w:rFonts w:ascii="宋体" w:hAnsi="宋体" w:cs="宋体" w:hint="eastAsia"/>
          <w:sz w:val="24"/>
        </w:rPr>
        <w:t>(项目编号：</w:t>
      </w:r>
      <w:r>
        <w:rPr>
          <w:rFonts w:ascii="宋体" w:hAnsi="宋体" w:cs="宋体" w:hint="eastAsia"/>
          <w:sz w:val="24"/>
          <w:lang w:eastAsia="zh-CN"/>
        </w:rPr>
        <w:t>SZDL2023001819(CLF0123SZ15ZC13)</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2"/>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2"/>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2"/>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38" w:name="_Toc275865626"/>
      <w:bookmarkStart w:id="239" w:name="_Toc435515318"/>
      <w:bookmarkStart w:id="240" w:name="_Toc435514878"/>
      <w:bookmarkStart w:id="241" w:name="_Toc173553195"/>
      <w:r>
        <w:rPr>
          <w:rFonts w:ascii="宋体" w:hAnsi="宋体" w:cs="宋体" w:hint="eastAsia"/>
          <w:b/>
          <w:sz w:val="24"/>
        </w:rPr>
        <w:br w:type="page"/>
      </w:r>
    </w:p>
    <w:p>
      <w:pPr>
        <w:pStyle w:val="Heading2"/>
        <w:numPr>
          <w:ilvl w:val="0"/>
          <w:numId w:val="65"/>
        </w:numPr>
        <w:spacing w:line="240" w:lineRule="auto"/>
        <w:rPr>
          <w:b w:val="0"/>
        </w:rPr>
      </w:pPr>
      <w:bookmarkEnd w:id="238"/>
      <w:bookmarkEnd w:id="239"/>
      <w:bookmarkEnd w:id="240"/>
      <w:bookmarkEnd w:id="241"/>
      <w:bookmarkStart w:id="242" w:name="_Toc9677"/>
      <w:bookmarkStart w:id="243" w:name="_Toc24182"/>
      <w:bookmarkStart w:id="244" w:name="_Toc9719"/>
      <w:bookmarkStart w:id="245" w:name="_Toc30664894"/>
      <w:bookmarkStart w:id="246" w:name="_Toc256000035"/>
      <w:r>
        <w:rPr>
          <w:rFonts w:hint="eastAsia"/>
          <w:b w:val="0"/>
        </w:rPr>
        <w:t>投标人认为需要加以说明的其他内容</w:t>
      </w:r>
      <w:bookmarkEnd w:id="246"/>
      <w:bookmarkEnd w:id="242"/>
      <w:bookmarkEnd w:id="243"/>
      <w:bookmarkEnd w:id="244"/>
      <w:bookmarkEnd w:id="245"/>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47" w:name="_Toc435514859"/>
      <w:bookmarkStart w:id="248" w:name="_Toc50736477"/>
      <w:bookmarkStart w:id="249" w:name="_Toc24852"/>
      <w:bookmarkStart w:id="250" w:name="_Toc52165081"/>
      <w:bookmarkStart w:id="251" w:name="_Toc30664879"/>
      <w:bookmarkStart w:id="252" w:name="_Toc435515299"/>
      <w:bookmarkStart w:id="253" w:name="_Toc50737297"/>
      <w:bookmarkStart w:id="254" w:name="_Toc50737329"/>
      <w:bookmarkStart w:id="255" w:name="_Toc275865607"/>
      <w:bookmarkStart w:id="256" w:name="_Toc50737296"/>
      <w:bookmarkStart w:id="257" w:name="_Toc50736476"/>
      <w:bookmarkStart w:id="258" w:name="_Toc52165080"/>
      <w:bookmarkStart w:id="259" w:name="_Toc50737328"/>
      <w:bookmarkStart w:id="260" w:name="_Toc50691034"/>
      <w:r>
        <w:rPr>
          <w:rFonts w:hint="eastAsia"/>
        </w:rPr>
        <w:br w:type="page"/>
      </w:r>
    </w:p>
    <w:p>
      <w:pPr>
        <w:pStyle w:val="Heading2"/>
        <w:numPr>
          <w:ilvl w:val="0"/>
          <w:numId w:val="65"/>
        </w:numPr>
        <w:spacing w:line="240" w:lineRule="auto"/>
        <w:jc w:val="center"/>
      </w:pPr>
      <w:bookmarkStart w:id="261" w:name="_Toc16369"/>
      <w:bookmarkStart w:id="262" w:name="_Toc11684"/>
      <w:bookmarkStart w:id="263" w:name="_Toc256000036"/>
      <w:r>
        <w:rPr>
          <w:rFonts w:hint="eastAsia"/>
          <w:b w:val="0"/>
        </w:rPr>
        <w:t>法定代表人证明书</w:t>
      </w:r>
      <w:bookmarkEnd w:id="263"/>
      <w:bookmarkEnd w:id="261"/>
      <w:bookmarkEnd w:id="262"/>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64" w:name="_Toc21819"/>
      <w:bookmarkStart w:id="265" w:name="_Toc4283"/>
      <w:bookmarkStart w:id="266" w:name="_Toc256000037"/>
      <w:r>
        <w:rPr>
          <w:rFonts w:hint="eastAsia"/>
          <w:b w:val="0"/>
        </w:rPr>
        <w:t>法定代表人授权委托书</w:t>
      </w:r>
      <w:bookmarkEnd w:id="266"/>
      <w:bookmarkEnd w:id="247"/>
      <w:bookmarkEnd w:id="248"/>
      <w:bookmarkEnd w:id="249"/>
      <w:bookmarkEnd w:id="250"/>
      <w:bookmarkEnd w:id="251"/>
      <w:bookmarkEnd w:id="252"/>
      <w:bookmarkEnd w:id="253"/>
      <w:bookmarkEnd w:id="254"/>
      <w:bookmarkEnd w:id="255"/>
      <w:bookmarkEnd w:id="264"/>
      <w:bookmarkEnd w:id="265"/>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功能材料与器件-聚焦离子束电子束双束显微镜</w:t>
      </w:r>
      <w:r>
        <w:rPr>
          <w:rFonts w:hint="eastAsia"/>
          <w:sz w:val="24"/>
          <w:szCs w:val="24"/>
          <w:u w:val="single"/>
        </w:rPr>
        <w:t>、</w:t>
      </w:r>
      <w:r>
        <w:rPr>
          <w:rFonts w:hint="eastAsia"/>
          <w:sz w:val="24"/>
          <w:szCs w:val="24"/>
          <w:u w:val="single"/>
          <w:lang w:eastAsia="zh-CN"/>
        </w:rPr>
        <w:t>SZDL2023001819(CLF0123SZ15ZC13)</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67" w:name="_Hlk30667959"/>
      <w:r>
        <w:rPr>
          <w:rFonts w:hint="eastAsia"/>
          <w:sz w:val="24"/>
        </w:rPr>
        <w:t>提供被授权人（授权代表）居民身份证（正反面）</w:t>
      </w:r>
      <w:bookmarkEnd w:id="267"/>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68" w:name="_Toc226217114"/>
    </w:p>
    <w:p>
      <w:pPr>
        <w:pStyle w:val="Heading2"/>
        <w:numPr>
          <w:ilvl w:val="0"/>
          <w:numId w:val="65"/>
        </w:numPr>
        <w:spacing w:line="240" w:lineRule="auto"/>
        <w:jc w:val="center"/>
        <w:rPr>
          <w:b w:val="0"/>
        </w:rPr>
      </w:pPr>
      <w:bookmarkEnd w:id="256"/>
      <w:bookmarkEnd w:id="257"/>
      <w:bookmarkEnd w:id="258"/>
      <w:bookmarkEnd w:id="259"/>
      <w:bookmarkEnd w:id="260"/>
      <w:bookmarkEnd w:id="268"/>
      <w:bookmarkStart w:id="269" w:name="_Toc24706"/>
      <w:bookmarkStart w:id="270" w:name="_Toc21680"/>
      <w:bookmarkStart w:id="271" w:name="_Toc256000038"/>
      <w:r>
        <w:rPr>
          <w:rFonts w:hint="eastAsia"/>
          <w:b w:val="0"/>
        </w:rPr>
        <w:t>实质性条款响应情况表</w:t>
      </w:r>
      <w:bookmarkEnd w:id="271"/>
      <w:bookmarkEnd w:id="269"/>
      <w:bookmarkEnd w:id="270"/>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SZDL2023001819(CLF0123SZ15ZC13)</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偏离情况说明</w:t>
            </w:r>
          </w:p>
          <w:p>
            <w:pPr>
              <w:ind w:left="-90" w:right="-80" w:leftChars="-43" w:rightChars="-38"/>
              <w:jc w:val="center"/>
              <w:rPr>
                <w:rFonts w:ascii="宋体" w:hAnsi="宋体" w:cs="宋体"/>
                <w:sz w:val="24"/>
              </w:rPr>
            </w:pPr>
            <w:r>
              <w:rPr>
                <w:rFonts w:ascii="宋体" w:hAnsi="宋体" w:cs="宋体" w:hint="eastAsia"/>
                <w:sz w:val="24"/>
              </w:rPr>
              <w:t>（正偏离/完全响应/负偏离）</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bottom w:val="double" w:sz="4" w:space="0" w:color="auto"/>
            </w:tcBorders>
            <w:vAlign w:val="center"/>
          </w:tcPr>
          <w:p>
            <w:pPr>
              <w:numPr>
                <w:ilvl w:val="0"/>
                <w:numId w:val="73"/>
              </w:numPr>
              <w:jc w:val="center"/>
              <w:rPr>
                <w:rFonts w:ascii="宋体" w:hAnsi="宋体" w:cs="宋体"/>
                <w:sz w:val="24"/>
              </w:rPr>
            </w:pPr>
          </w:p>
        </w:tc>
        <w:tc>
          <w:tcPr>
            <w:tcW w:w="2530" w:type="dxa"/>
            <w:tcBorders>
              <w:top w:val="double" w:sz="4" w:space="0" w:color="auto"/>
              <w:bottom w:val="double" w:sz="4" w:space="0" w:color="auto"/>
            </w:tcBorders>
            <w:vAlign w:val="center"/>
          </w:tcPr>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 xml:space="preserve">★4．关于报价方式及要求 </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产货物：人民币报价，投标价包含仪器设备的价款、税费、包装、运输、装卸、安装、调试、技术指导、培训、咨询、服务、保险、检测、验收合格交付使用之前以及技术和售后服务、质保期退运返修等其他所有费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进口免税产品报价说明：</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1）若本项目需要使用美元结算时，则按中国银行（现汇卖出价）开标当日开标时人民币兑美元的汇率作为结算汇率；</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2）若参与投标的进口货物免税报价时，如有国内供货部分需在《投标分项报价表》上注明含税报价，届时需要提供税务局出具的有效发票，否则不予支付该部分货款。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3）依据国家相关法律法规，项目中不可免税部分请单报人民币含税价格。</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adjustRightInd w:val="0"/>
              <w:snapToGrid w:val="0"/>
              <w:spacing w:line="360" w:lineRule="auto"/>
              <w:ind w:firstLine="420" w:firstLineChars="200"/>
              <w:rPr>
                <w:rFonts w:ascii="宋体" w:hAnsi="宋体" w:cs="宋体"/>
                <w:sz w:val="24"/>
              </w:rPr>
            </w:pPr>
            <w:r>
              <w:rPr>
                <w:rFonts w:ascii="宋体" w:hAnsi="宋体" w:cs="宋体" w:hint="eastAsia"/>
                <w:sz w:val="24"/>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tcBorders>
              <w:top w:val="double" w:sz="4" w:space="0" w:color="auto"/>
              <w:bottom w:val="double" w:sz="4" w:space="0" w:color="auto"/>
            </w:tcBorders>
            <w:vAlign w:val="center"/>
          </w:tcPr>
          <w:p>
            <w:pPr>
              <w:ind w:left="-78" w:right="-80" w:leftChars="-37" w:rightChars="-38"/>
              <w:jc w:val="center"/>
              <w:rPr>
                <w:rFonts w:ascii="宋体" w:hAnsi="宋体" w:cs="宋体"/>
                <w:sz w:val="24"/>
              </w:rPr>
            </w:pPr>
          </w:p>
        </w:tc>
        <w:tc>
          <w:tcPr>
            <w:tcW w:w="2003" w:type="dxa"/>
            <w:tcBorders>
              <w:top w:val="double" w:sz="4" w:space="0" w:color="auto"/>
              <w:bottom w:val="double" w:sz="4" w:space="0" w:color="auto"/>
              <w:right w:val="single" w:sz="2" w:space="0" w:color="auto"/>
            </w:tcBorders>
            <w:vAlign w:val="center"/>
          </w:tcPr>
          <w:p>
            <w:pPr>
              <w:ind w:left="-78" w:right="-80" w:leftChars="-37" w:rightChars="-38"/>
              <w:jc w:val="center"/>
              <w:rPr>
                <w:rFonts w:ascii="宋体" w:hAnsi="宋体" w:cs="宋体"/>
                <w:sz w:val="24"/>
              </w:rPr>
            </w:pPr>
          </w:p>
        </w:tc>
        <w:tc>
          <w:tcPr>
            <w:tcW w:w="1440" w:type="dxa"/>
            <w:tcBorders>
              <w:top w:val="double" w:sz="4" w:space="0" w:color="auto"/>
              <w:left w:val="single" w:sz="2" w:space="0" w:color="auto"/>
              <w:bottom w:val="double" w:sz="4"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3"/>
              </w:numPr>
              <w:jc w:val="center"/>
              <w:rPr>
                <w:rFonts w:ascii="宋体" w:hAnsi="宋体" w:cs="宋体"/>
                <w:sz w:val="24"/>
              </w:rPr>
            </w:pPr>
          </w:p>
        </w:tc>
        <w:tc>
          <w:tcPr>
            <w:tcW w:w="2530" w:type="dxa"/>
            <w:tcBorders>
              <w:top w:val="double" w:sz="4" w:space="0" w:color="auto"/>
            </w:tcBorders>
            <w:vAlign w:val="center"/>
          </w:tcPr>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★5．付款方式</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国内合同：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（1）合同生效后，采购方在十五日内，向中标人支付合同价款的20%，2024年财政拨款批复到位后，再向中标人支付合同价款的50%，作为预付款；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（2）设备到货安装验收合格后，凭下列全部单据并经审核无误后十五日内，向中标人支付合同价款的25%：</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① 中标人出具的交货清单原件一份；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② 采购方签署的收货清单复印件一份；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③ 货物验收记录复印件一份；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④ 制造商出具的出厂质量合格证原件一份；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⑤ 增值税（专用/普通）发票原件一份。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（3）在货物验收合格并稳定运行12个月后，在收到中标人增值税（专用/普通）发票原件一份并经审核无误后15日内，采购方向中标人支付剩余5%的余款。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如果中标人不履行合同约定的义务或其履行义务不符合合同的约定，采购方有权直接从应付中标人的任何一笔款项中扣减采购方应得之补偿。不足部分，采购方有权继续向中标人进行追偿。</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（4）免费保修期自验收合格之日起计。</w:t>
            </w:r>
          </w:p>
          <w:p>
            <w:pPr>
              <w:pStyle w:val="NormalIndent"/>
              <w:adjustRightInd w:val="0"/>
              <w:snapToGrid w:val="0"/>
              <w:spacing w:line="360" w:lineRule="auto"/>
              <w:ind w:left="0" w:firstLine="0" w:leftChars="0" w:firstLineChars="0"/>
              <w:rPr>
                <w:rFonts w:ascii="宋体" w:hAnsi="宋体" w:cs="宋体" w:hint="eastAsia"/>
                <w:sz w:val="24"/>
                <w:szCs w:val="24"/>
              </w:rPr>
            </w:pPr>
            <w:r>
              <w:rPr>
                <w:rFonts w:ascii="宋体" w:hAnsi="宋体" w:cs="宋体" w:hint="eastAsia"/>
                <w:sz w:val="24"/>
                <w:szCs w:val="24"/>
              </w:rPr>
              <w:t>进口（外贸）合同：</w:t>
            </w:r>
          </w:p>
          <w:p>
            <w:pPr>
              <w:pStyle w:val="NormalIndent"/>
              <w:adjustRightInd w:val="0"/>
              <w:snapToGrid w:val="0"/>
              <w:spacing w:line="360" w:lineRule="auto"/>
              <w:ind w:left="0" w:firstLine="0" w:leftChars="0" w:firstLineChars="0"/>
              <w:rPr>
                <w:rFonts w:ascii="宋体" w:hAnsi="宋体" w:cs="宋体" w:hint="eastAsia"/>
                <w:sz w:val="24"/>
                <w:szCs w:val="24"/>
              </w:rPr>
            </w:pPr>
            <w:r>
              <w:rPr>
                <w:rFonts w:ascii="宋体" w:hAnsi="宋体" w:cs="宋体" w:hint="eastAsia"/>
                <w:sz w:val="24"/>
                <w:szCs w:val="24"/>
              </w:rPr>
              <w:t>货款支付上限为：中标/成交人民币价格。</w:t>
            </w:r>
          </w:p>
          <w:p>
            <w:pPr>
              <w:pStyle w:val="NormalIndent"/>
              <w:adjustRightInd w:val="0"/>
              <w:snapToGrid w:val="0"/>
              <w:spacing w:line="360" w:lineRule="auto"/>
              <w:ind w:left="0" w:firstLine="0" w:leftChars="0" w:firstLineChars="0"/>
              <w:rPr>
                <w:rFonts w:ascii="宋体" w:hAnsi="宋体" w:cs="宋体" w:hint="eastAsia"/>
                <w:sz w:val="24"/>
                <w:szCs w:val="24"/>
              </w:rPr>
            </w:pPr>
            <w:r>
              <w:rPr>
                <w:rFonts w:ascii="宋体" w:hAnsi="宋体" w:cs="宋体" w:hint="eastAsia"/>
                <w:sz w:val="24"/>
                <w:szCs w:val="24"/>
              </w:rPr>
              <w:t>信用证付款</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（1）签</w:t>
            </w:r>
            <w:r>
              <w:rPr>
                <w:rFonts w:ascii="宋体" w:hAnsi="宋体" w:cs="宋体" w:hint="eastAsia"/>
                <w:sz w:val="24"/>
                <w:szCs w:val="24"/>
                <w:lang w:val="en-US" w:eastAsia="zh-CN"/>
              </w:rPr>
              <w:t>订</w:t>
            </w:r>
            <w:r>
              <w:rPr>
                <w:rFonts w:ascii="宋体" w:hAnsi="宋体" w:cs="宋体" w:hint="eastAsia"/>
                <w:sz w:val="24"/>
                <w:szCs w:val="24"/>
              </w:rPr>
              <w:t>外贸合同后，买方代理收到买方20% 货款后, 买方代理对外开具合同总额的20%不可撤销信用证给卖方；2024年财政拨款批复到位后，买方代理收到买方50% 货款后, 买方代理对外开具合同总额的50%不可撤销信用证给卖方；</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（2） 货到验收合格后，买方代理收到买方25%货款后，买方代理电汇支付25%货款给卖方；</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（3）验收满1年后，买方代理收到买方5%货款后，买方代理电汇支付5% 货款给卖方（合同执行期间产生的外币汇率损失由卖方承担）；</w:t>
            </w:r>
          </w:p>
          <w:p>
            <w:pPr>
              <w:pStyle w:val="NormalIndent"/>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（4）质量保证期自验收合格之日起计；</w:t>
            </w:r>
          </w:p>
          <w:p>
            <w:pPr>
              <w:pStyle w:val="NormalIndent"/>
              <w:adjustRightInd w:val="0"/>
              <w:snapToGrid w:val="0"/>
              <w:spacing w:line="360" w:lineRule="auto"/>
              <w:ind w:firstLine="480"/>
              <w:rPr>
                <w:rFonts w:ascii="宋体" w:hAnsi="宋体" w:cs="宋体"/>
                <w:sz w:val="24"/>
              </w:rPr>
            </w:pPr>
            <w:r>
              <w:rPr>
                <w:rFonts w:ascii="宋体" w:hAnsi="宋体" w:cs="宋体" w:hint="eastAsia"/>
                <w:sz w:val="24"/>
                <w:szCs w:val="24"/>
              </w:rPr>
              <w:t>（5）如果采用外币结算，汇率取开标日中国人民银行公布的汇率中间价</w:t>
            </w:r>
            <w:r>
              <w:rPr>
                <w:rFonts w:ascii="宋体" w:hAnsi="宋体" w:cs="宋体" w:hint="eastAsia"/>
                <w:color w:val="0D0D0D"/>
                <w:sz w:val="24"/>
                <w:szCs w:val="24"/>
              </w:rPr>
              <w:t>。</w:t>
            </w:r>
          </w:p>
        </w:tc>
        <w:tc>
          <w:tcPr>
            <w:tcW w:w="2531" w:type="dxa"/>
            <w:tcBorders>
              <w:top w:val="double" w:sz="4" w:space="0" w:color="auto"/>
            </w:tcBorders>
            <w:vAlign w:val="center"/>
          </w:tcPr>
          <w:p>
            <w:pPr>
              <w:ind w:left="-78" w:right="-80" w:leftChars="-37" w:rightChars="-38"/>
              <w:jc w:val="center"/>
              <w:rPr>
                <w:rFonts w:ascii="宋体" w:hAnsi="宋体" w:cs="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cs="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cs="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72" w:name="_Toc13372"/>
      <w:bookmarkStart w:id="273" w:name="_Toc27142"/>
      <w:bookmarkStart w:id="274" w:name="_Toc30664884"/>
      <w:bookmarkStart w:id="275" w:name="_Toc20053"/>
      <w:bookmarkStart w:id="276" w:name="_Toc256000039"/>
      <w:r>
        <w:rPr>
          <w:rFonts w:hint="eastAsia"/>
          <w:b w:val="0"/>
        </w:rPr>
        <w:t>技术要求偏离表</w:t>
      </w:r>
      <w:bookmarkEnd w:id="276"/>
      <w:bookmarkEnd w:id="272"/>
      <w:bookmarkEnd w:id="273"/>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SZDL2023001819(CLF0123SZ15ZC13)</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6"/>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6"/>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77" w:name="_Toc9554"/>
      <w:bookmarkStart w:id="278" w:name="_Toc14801"/>
      <w:bookmarkStart w:id="279" w:name="_Toc256000040"/>
      <w:r>
        <w:rPr>
          <w:rFonts w:hint="eastAsia"/>
          <w:b w:val="0"/>
        </w:rPr>
        <w:t>商务要求偏离表</w:t>
      </w:r>
      <w:bookmarkEnd w:id="279"/>
      <w:bookmarkEnd w:id="277"/>
      <w:bookmarkEnd w:id="278"/>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第二章用户需求书的</w:t>
      </w:r>
      <w:r>
        <w:rPr>
          <w:rFonts w:ascii="宋体" w:hAnsi="宋体" w:cs="宋体" w:hint="eastAsia"/>
          <w:sz w:val="24"/>
        </w:rPr>
        <w:t>商务</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SZDL2023001819(CLF0123SZ15ZC13)</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color w:val="000000"/>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rPr>
      </w:pPr>
      <w:bookmarkStart w:id="280" w:name="_Toc26227"/>
      <w:bookmarkStart w:id="281" w:name="_Toc16568"/>
      <w:bookmarkStart w:id="282" w:name="_Toc256000041"/>
      <w:r>
        <w:rPr>
          <w:rFonts w:hint="eastAsia"/>
          <w:b w:val="0"/>
        </w:rPr>
        <w:t>政府采购违法行为风险知悉确认书</w:t>
      </w:r>
      <w:bookmarkEnd w:id="282"/>
      <w:bookmarkEnd w:id="280"/>
      <w:bookmarkEnd w:id="281"/>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rFonts w:hint="eastAsia"/>
          <w:b/>
          <w:bCs/>
          <w:sz w:val="24"/>
        </w:rPr>
        <w:sectPr>
          <w:headerReference w:type="default" r:id="rId17"/>
          <w:pgSz w:w="11906" w:h="16838"/>
          <w:pgMar w:top="1440" w:right="1286" w:bottom="1440" w:left="1440" w:header="851" w:footer="992" w:gutter="0"/>
          <w:cols w:num="1" w:space="720"/>
          <w:docGrid w:type="lines" w:linePitch="312" w:charSpace="0"/>
        </w:sectPr>
      </w:pPr>
      <w:r>
        <w:rPr>
          <w:rFonts w:hint="eastAsia"/>
          <w:b/>
          <w:bCs/>
          <w:sz w:val="24"/>
        </w:rPr>
        <w:t>注：该风险知悉确认书用于对供应商违法行为的警示，不作为供应商资格性审查及符合性审查条件。</w:t>
      </w:r>
    </w:p>
    <w:p>
      <w:pPr>
        <w:pStyle w:val="Heading2"/>
        <w:numPr>
          <w:ilvl w:val="0"/>
          <w:numId w:val="65"/>
        </w:numPr>
        <w:spacing w:line="240" w:lineRule="auto"/>
        <w:jc w:val="center"/>
        <w:rPr>
          <w:b w:val="0"/>
          <w:highlight w:val="none"/>
        </w:rPr>
      </w:pPr>
      <w:bookmarkStart w:id="283" w:name="_Toc256000042"/>
      <w:r>
        <w:rPr>
          <w:rFonts w:hint="eastAsia"/>
          <w:b w:val="0"/>
          <w:highlight w:val="none"/>
          <w:lang w:eastAsia="zh-CN"/>
        </w:rPr>
        <w:t>《</w:t>
      </w:r>
      <w:r>
        <w:rPr>
          <w:rFonts w:hint="eastAsia"/>
          <w:b w:val="0"/>
          <w:highlight w:val="none"/>
        </w:rPr>
        <w:t>政府采购违法行为风险知悉确认书</w:t>
      </w:r>
      <w:r>
        <w:rPr>
          <w:rFonts w:hint="eastAsia"/>
          <w:b w:val="0"/>
          <w:highlight w:val="none"/>
          <w:lang w:eastAsia="zh-CN"/>
        </w:rPr>
        <w:t>》</w:t>
      </w:r>
      <w:r>
        <w:rPr>
          <w:rFonts w:hint="eastAsia"/>
          <w:b w:val="0"/>
          <w:highlight w:val="none"/>
          <w:lang w:val="en-US" w:eastAsia="zh-CN"/>
        </w:rPr>
        <w:t>附件</w:t>
      </w:r>
      <w:bookmarkEnd w:id="283"/>
    </w:p>
    <w:p>
      <w:pPr>
        <w:pStyle w:val="ListParagraph"/>
        <w:ind w:firstLine="0" w:firstLineChars="0"/>
        <w:jc w:val="center"/>
        <w:rPr>
          <w:sz w:val="36"/>
          <w:szCs w:val="36"/>
          <w:highlight w:val="none"/>
        </w:rPr>
      </w:pPr>
      <w:r>
        <w:rPr>
          <w:rFonts w:ascii="宋体" w:hAnsi="宋体" w:hint="eastAsia"/>
          <w:b/>
          <w:sz w:val="36"/>
          <w:szCs w:val="36"/>
          <w:highlight w:val="none"/>
        </w:rPr>
        <w:t>（非信息公开部分）</w:t>
      </w:r>
    </w:p>
    <w:p>
      <w:pPr>
        <w:pStyle w:val="PlainText"/>
        <w:spacing w:line="360" w:lineRule="auto"/>
        <w:rPr>
          <w:highlight w:val="none"/>
        </w:rPr>
      </w:pPr>
    </w:p>
    <w:p>
      <w:pPr>
        <w:pStyle w:val="PlainText"/>
        <w:spacing w:line="360" w:lineRule="auto"/>
        <w:rPr>
          <w:rFonts w:ascii="宋体" w:eastAsia="宋体" w:hAnsi="宋体" w:cs="宋体" w:hint="default"/>
          <w:b w:val="0"/>
          <w:bCs w:val="0"/>
          <w:sz w:val="24"/>
          <w:szCs w:val="24"/>
          <w:highlight w:val="none"/>
          <w:lang w:val="en-US" w:eastAsia="zh-CN"/>
        </w:rPr>
      </w:pPr>
      <w:r>
        <w:rPr>
          <w:rFonts w:ascii="宋体" w:eastAsia="宋体" w:hAnsi="宋体" w:cs="宋体" w:hint="eastAsia"/>
          <w:b w:val="0"/>
          <w:bCs w:val="0"/>
          <w:sz w:val="24"/>
          <w:szCs w:val="24"/>
          <w:highlight w:val="none"/>
          <w:lang w:val="en-US" w:eastAsia="zh-CN"/>
        </w:rPr>
        <w:t>提供</w:t>
      </w:r>
      <w:r>
        <w:rPr>
          <w:rFonts w:ascii="宋体" w:eastAsia="宋体" w:hAnsi="宋体" w:cs="宋体" w:hint="eastAsia"/>
          <w:b w:val="0"/>
          <w:bCs w:val="0"/>
          <w:sz w:val="24"/>
          <w:szCs w:val="24"/>
          <w:highlight w:val="none"/>
        </w:rPr>
        <w:t>法定代表人、主要经营负责人、项目投标授权代表人、项目负责人、主要技术人员</w:t>
      </w:r>
      <w:r>
        <w:rPr>
          <w:rFonts w:ascii="宋体" w:eastAsia="宋体" w:hAnsi="宋体" w:cs="宋体" w:hint="eastAsia"/>
          <w:b w:val="0"/>
          <w:bCs w:val="0"/>
          <w:sz w:val="24"/>
          <w:szCs w:val="24"/>
          <w:highlight w:val="none"/>
          <w:lang w:val="en-US" w:eastAsia="zh-CN"/>
        </w:rPr>
        <w:t>的</w:t>
      </w:r>
      <w:r>
        <w:rPr>
          <w:rFonts w:ascii="宋体" w:eastAsia="宋体" w:hAnsi="宋体" w:cs="宋体" w:hint="eastAsia"/>
          <w:b w:val="0"/>
          <w:bCs w:val="0"/>
          <w:sz w:val="24"/>
          <w:szCs w:val="24"/>
          <w:highlight w:val="none"/>
        </w:rPr>
        <w:t>社会保险</w:t>
      </w:r>
      <w:r>
        <w:rPr>
          <w:rFonts w:ascii="宋体" w:eastAsia="宋体" w:hAnsi="宋体" w:cs="宋体" w:hint="eastAsia"/>
          <w:b w:val="0"/>
          <w:bCs w:val="0"/>
          <w:sz w:val="24"/>
          <w:szCs w:val="24"/>
          <w:highlight w:val="none"/>
          <w:lang w:val="en-US" w:eastAsia="zh-CN"/>
        </w:rPr>
        <w:t>证明（</w:t>
      </w:r>
      <w:r>
        <w:rPr>
          <w:rFonts w:ascii="宋体" w:eastAsia="宋体" w:hAnsi="宋体" w:cs="宋体" w:hint="eastAsia"/>
          <w:sz w:val="24"/>
          <w:szCs w:val="24"/>
          <w:highlight w:val="none"/>
          <w:lang w:val="en-US" w:eastAsia="zh-CN"/>
        </w:rPr>
        <w:t>1.如依法不需要缴纳社会保险的，应提供相应文件证明；</w:t>
      </w:r>
      <w:r>
        <w:rPr>
          <w:rFonts w:eastAsia="宋体" w:hAnsi="宋体" w:cs="宋体" w:hint="eastAsia"/>
          <w:b w:val="0"/>
          <w:bCs w:val="0"/>
          <w:sz w:val="24"/>
          <w:szCs w:val="24"/>
          <w:highlight w:val="none"/>
          <w:lang w:val="en-US" w:eastAsia="zh-CN"/>
        </w:rPr>
        <w:t>2</w:t>
      </w:r>
      <w:r>
        <w:rPr>
          <w:rFonts w:ascii="宋体" w:eastAsia="宋体" w:hAnsi="宋体" w:cs="宋体" w:hint="eastAsia"/>
          <w:b w:val="0"/>
          <w:bCs w:val="0"/>
          <w:sz w:val="24"/>
          <w:szCs w:val="24"/>
          <w:highlight w:val="none"/>
          <w:lang w:val="en-US" w:eastAsia="zh-CN"/>
        </w:rPr>
        <w:t>.如相关人员为退休后返聘则需提供退休证明和聘用合同；</w:t>
      </w:r>
      <w:r>
        <w:rPr>
          <w:rFonts w:eastAsia="宋体" w:hAnsi="宋体" w:cs="宋体" w:hint="eastAsia"/>
          <w:b w:val="0"/>
          <w:bCs w:val="0"/>
          <w:sz w:val="24"/>
          <w:szCs w:val="24"/>
          <w:highlight w:val="none"/>
          <w:lang w:val="en-US" w:eastAsia="zh-CN"/>
        </w:rPr>
        <w:t>3</w:t>
      </w:r>
      <w:r>
        <w:rPr>
          <w:rFonts w:ascii="宋体" w:eastAsia="宋体" w:hAnsi="宋体" w:cs="宋体" w:hint="eastAsia"/>
          <w:b w:val="0"/>
          <w:bCs w:val="0"/>
          <w:sz w:val="24"/>
          <w:szCs w:val="24"/>
          <w:highlight w:val="none"/>
          <w:lang w:val="en-US" w:eastAsia="zh-CN"/>
        </w:rPr>
        <w:t>.如本项目未安排项目投标授权代表人、项目负责人、主要技术人员的，无需提供投标授权代表人、项目负责人、主要技术人员的社会保险证明）作为《政府采购违法行为风险知悉确认书》的附件，</w:t>
      </w:r>
      <w:r>
        <w:rPr>
          <w:rFonts w:ascii="宋体" w:eastAsia="宋体" w:hAnsi="宋体" w:cs="宋体" w:hint="eastAsia"/>
          <w:b w:val="0"/>
          <w:bCs w:val="0"/>
          <w:sz w:val="24"/>
          <w:szCs w:val="24"/>
          <w:highlight w:val="none"/>
        </w:rPr>
        <w:t>不作为供应商资格性审查及符合性审查条件。</w:t>
      </w:r>
    </w:p>
    <w:p>
      <w:pPr>
        <w:rPr>
          <w:rFonts w:hint="eastAsia"/>
          <w:color w:val="FF0000"/>
        </w:rPr>
        <w:sectPr>
          <w:pgSz w:w="11906" w:h="16838"/>
          <w:pgMar w:top="1440" w:right="1286" w:bottom="1440" w:left="1440" w:header="851" w:footer="992" w:gutter="0"/>
          <w:cols w:num="1" w:space="720"/>
          <w:docGrid w:type="lines" w:linePitch="312" w:charSpace="0"/>
        </w:sectPr>
      </w:pPr>
    </w:p>
    <w:p>
      <w:pPr>
        <w:pStyle w:val="Heading2"/>
        <w:numPr>
          <w:ilvl w:val="0"/>
          <w:numId w:val="65"/>
        </w:numPr>
        <w:spacing w:line="240" w:lineRule="auto"/>
        <w:jc w:val="center"/>
        <w:rPr>
          <w:b w:val="0"/>
        </w:rPr>
      </w:pPr>
      <w:bookmarkEnd w:id="274"/>
      <w:bookmarkEnd w:id="275"/>
      <w:bookmarkStart w:id="284" w:name="_Toc6173"/>
      <w:bookmarkStart w:id="285" w:name="_Toc256000043"/>
      <w:r>
        <w:rPr>
          <w:rFonts w:hint="eastAsia"/>
          <w:b w:val="0"/>
        </w:rPr>
        <w:t>技术保障措施</w:t>
      </w:r>
      <w:bookmarkEnd w:id="285"/>
      <w:bookmarkEnd w:id="284"/>
    </w:p>
    <w:p>
      <w:pPr>
        <w:pStyle w:val="ListParagraph"/>
        <w:ind w:left="420" w:firstLine="1564" w:leftChars="200" w:firstLineChars="745"/>
      </w:pPr>
      <w:r>
        <w:rPr>
          <w:rFonts w:ascii="宋体" w:hAnsi="宋体" w:hint="eastAsia"/>
          <w:b/>
          <w:sz w:val="36"/>
          <w:szCs w:val="36"/>
        </w:rPr>
        <w:t>（非信息公开部分）</w:t>
      </w:r>
    </w:p>
    <w:sectPr>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80</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80</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SZDL2023001819(CLF0123SZ15ZC13)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SZDL2023001819(CLF0123SZ15ZC13)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62DB1C2"/>
    <w:multiLevelType w:val="singleLevel"/>
    <w:tmpl w:val="162DB1C2"/>
    <w:lvl w:ilvl="0">
      <w:start w:val="1"/>
      <w:numFmt w:val="decimal"/>
      <w:lvlText w:val="%1."/>
      <w:lvlJc w:val="left"/>
      <w:pPr>
        <w:tabs>
          <w:tab w:val="left" w:pos="312"/>
        </w:tabs>
      </w:pPr>
    </w:lvl>
  </w:abstractNum>
  <w:abstractNum w:abstractNumId="2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1">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1AAD7E06"/>
    <w:multiLevelType w:val="singleLevel"/>
    <w:tmpl w:val="1AAD7E06"/>
    <w:lvl w:ilvl="0">
      <w:start w:val="1"/>
      <w:numFmt w:val="decimal"/>
      <w:suff w:val="nothing"/>
      <w:lvlText w:val="%1、"/>
      <w:lvlJc w:val="left"/>
    </w:lvl>
  </w:abstractNum>
  <w:abstractNum w:abstractNumId="24">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3">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0">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num>
  <w:num w:numId="4">
    <w:abstractNumId w:val="66"/>
  </w:num>
  <w:num w:numId="5">
    <w:abstractNumId w:val="15"/>
  </w:num>
  <w:num w:numId="6">
    <w:abstractNumId w:val="73"/>
  </w:num>
  <w:num w:numId="7">
    <w:abstractNumId w:val="68"/>
  </w:num>
  <w:num w:numId="8">
    <w:abstractNumId w:val="55"/>
  </w:num>
  <w:num w:numId="9">
    <w:abstractNumId w:val="75"/>
  </w:num>
  <w:num w:numId="10">
    <w:abstractNumId w:val="10"/>
  </w:num>
  <w:num w:numId="11">
    <w:abstractNumId w:val="63"/>
  </w:num>
  <w:num w:numId="12">
    <w:abstractNumId w:val="3"/>
  </w:num>
  <w:num w:numId="13">
    <w:abstractNumId w:val="5"/>
  </w:num>
  <w:num w:numId="14">
    <w:abstractNumId w:val="6"/>
  </w:num>
  <w:num w:numId="15">
    <w:abstractNumId w:val="51"/>
  </w:num>
  <w:num w:numId="16">
    <w:abstractNumId w:val="24"/>
  </w:num>
  <w:num w:numId="17">
    <w:abstractNumId w:val="60"/>
  </w:num>
  <w:num w:numId="18">
    <w:abstractNumId w:val="14"/>
  </w:num>
  <w:num w:numId="19">
    <w:abstractNumId w:val="56"/>
  </w:num>
  <w:num w:numId="20">
    <w:abstractNumId w:val="25"/>
  </w:num>
  <w:num w:numId="21">
    <w:abstractNumId w:val="65"/>
  </w:num>
  <w:num w:numId="22">
    <w:abstractNumId w:val="30"/>
  </w:num>
  <w:num w:numId="23">
    <w:abstractNumId w:val="58"/>
  </w:num>
  <w:num w:numId="24">
    <w:abstractNumId w:val="70"/>
  </w:num>
  <w:num w:numId="25">
    <w:abstractNumId w:val="37"/>
  </w:num>
  <w:num w:numId="26">
    <w:abstractNumId w:val="27"/>
  </w:num>
  <w:num w:numId="27">
    <w:abstractNumId w:val="69"/>
  </w:num>
  <w:num w:numId="28">
    <w:abstractNumId w:val="46"/>
  </w:num>
  <w:num w:numId="29">
    <w:abstractNumId w:val="43"/>
  </w:num>
  <w:num w:numId="30">
    <w:abstractNumId w:val="22"/>
  </w:num>
  <w:num w:numId="31">
    <w:abstractNumId w:val="48"/>
  </w:num>
  <w:num w:numId="32">
    <w:abstractNumId w:val="2"/>
  </w:num>
  <w:num w:numId="33">
    <w:abstractNumId w:val="38"/>
  </w:num>
  <w:num w:numId="34">
    <w:abstractNumId w:val="4"/>
  </w:num>
  <w:num w:numId="35">
    <w:abstractNumId w:val="1"/>
  </w:num>
  <w:num w:numId="36">
    <w:abstractNumId w:val="0"/>
  </w:num>
  <w:num w:numId="37">
    <w:abstractNumId w:val="17"/>
  </w:num>
  <w:num w:numId="38">
    <w:abstractNumId w:val="9"/>
  </w:num>
  <w:num w:numId="39">
    <w:abstractNumId w:val="44"/>
  </w:num>
  <w:num w:numId="40">
    <w:abstractNumId w:val="18"/>
  </w:num>
  <w:num w:numId="41">
    <w:abstractNumId w:val="61"/>
  </w:num>
  <w:num w:numId="42">
    <w:abstractNumId w:val="40"/>
  </w:num>
  <w:num w:numId="43">
    <w:abstractNumId w:val="33"/>
  </w:num>
  <w:num w:numId="44">
    <w:abstractNumId w:val="64"/>
  </w:num>
  <w:num w:numId="45">
    <w:abstractNumId w:val="50"/>
  </w:num>
  <w:num w:numId="46">
    <w:abstractNumId w:val="41"/>
  </w:num>
  <w:num w:numId="47">
    <w:abstractNumId w:val="32"/>
  </w:num>
  <w:num w:numId="48">
    <w:abstractNumId w:val="34"/>
  </w:num>
  <w:num w:numId="49">
    <w:abstractNumId w:val="57"/>
  </w:num>
  <w:num w:numId="50">
    <w:abstractNumId w:val="8"/>
  </w:num>
  <w:num w:numId="51">
    <w:abstractNumId w:val="13"/>
  </w:num>
  <w:num w:numId="52">
    <w:abstractNumId w:val="28"/>
  </w:num>
  <w:num w:numId="53">
    <w:abstractNumId w:val="45"/>
  </w:num>
  <w:num w:numId="54">
    <w:abstractNumId w:val="36"/>
  </w:num>
  <w:num w:numId="55">
    <w:abstractNumId w:val="47"/>
  </w:num>
  <w:num w:numId="56">
    <w:abstractNumId w:val="26"/>
  </w:num>
  <w:num w:numId="57">
    <w:abstractNumId w:val="20"/>
  </w:num>
  <w:num w:numId="58">
    <w:abstractNumId w:val="29"/>
  </w:num>
  <w:num w:numId="59">
    <w:abstractNumId w:val="35"/>
  </w:num>
  <w:num w:numId="60">
    <w:abstractNumId w:val="12"/>
  </w:num>
  <w:num w:numId="61">
    <w:abstractNumId w:val="71"/>
  </w:num>
  <w:num w:numId="62">
    <w:abstractNumId w:val="49"/>
  </w:num>
  <w:num w:numId="63">
    <w:abstractNumId w:val="39"/>
  </w:num>
  <w:num w:numId="64">
    <w:abstractNumId w:val="54"/>
  </w:num>
  <w:num w:numId="65">
    <w:abstractNumId w:val="72"/>
  </w:num>
  <w:num w:numId="66">
    <w:abstractNumId w:val="42"/>
  </w:num>
  <w:num w:numId="67">
    <w:abstractNumId w:val="19"/>
  </w:num>
  <w:num w:numId="68">
    <w:abstractNumId w:val="74"/>
  </w:num>
  <w:num w:numId="69">
    <w:abstractNumId w:val="67"/>
  </w:num>
  <w:num w:numId="70">
    <w:abstractNumId w:val="59"/>
  </w:num>
  <w:num w:numId="71">
    <w:abstractNumId w:val="11"/>
  </w:num>
  <w:num w:numId="72">
    <w:abstractNumId w:val="52"/>
  </w:num>
  <w:num w:numId="73">
    <w:abstractNumId w:val="53"/>
  </w:num>
  <w:num w:numId="74">
    <w:abstractNumId w:val="62"/>
  </w:num>
  <w:num w:numId="75">
    <w:abstractNumId w:val="16"/>
  </w:num>
  <w:num w:numId="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BodyText2"/>
    <w:qFormat/>
    <w:pPr>
      <w:spacing w:after="120"/>
    </w:pPr>
  </w:style>
  <w:style w:type="paragraph" w:styleId="BodyText2">
    <w:name w:val="Body Text 2"/>
    <w:basedOn w:val="Normal"/>
    <w:uiPriority w:val="99"/>
    <w:unhideWhenUsed/>
    <w:qFormat/>
    <w:pPr>
      <w:spacing w:after="120" w:line="480" w:lineRule="auto"/>
    </w:p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paragraph" w:customStyle="1" w:styleId="a">
    <w:name w:val="正文正"/>
    <w:basedOn w:val="Normal"/>
    <w:qFormat/>
    <w:pPr>
      <w:spacing w:line="560" w:lineRule="exact"/>
      <w:ind w:firstLine="561"/>
    </w:pPr>
    <w:rPr>
      <w:rFonts w:ascii="Calibri" w:hAnsi="Calibri"/>
      <w:sz w:val="28"/>
      <w:szCs w:val="28"/>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80</Pages>
  <Words>42341</Words>
  <Characters>44973</Characters>
  <Application>Microsoft Office Word</Application>
  <DocSecurity>0</DocSecurity>
  <Lines>349</Lines>
  <Paragraphs>98</Paragraphs>
  <ScaleCrop>false</ScaleCrop>
  <Company>P R C</Company>
  <LinksUpToDate>false</LinksUpToDate>
  <CharactersWithSpaces>47439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4</cp:revision>
  <dcterms:created xsi:type="dcterms:W3CDTF">2023-08-22T03:16:00Z</dcterms:created>
  <dcterms:modified xsi:type="dcterms:W3CDTF">2023-08-28T09:26:16Z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EA03BE4E126D43099B5D5825400AD9BC_13</vt:lpwstr>
  </property>
  <property fmtid="{D5CDD505-2E9C-101B-9397-08002B2CF9AE}" pid="4" name="KSOProductBuildVer">
    <vt:lpwstr>2052-11.1.0.14309</vt:lpwstr>
  </property>
</Properties>
</file>